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887DCE" w:rsidRPr="00755286" w:rsidRDefault="00887DCE" w:rsidP="00755286">
      <w:pPr>
        <w:pStyle w:val="Heading1"/>
        <w:rPr>
          <w:sz w:val="28"/>
        </w:rPr>
      </w:pPr>
      <w:r w:rsidRPr="00755286">
        <w:t>S</w:t>
      </w:r>
      <w:r w:rsidR="00755286" w:rsidRPr="00755286">
        <w:t>cheme of Delegation</w:t>
      </w:r>
    </w:p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49392B" w:rsidRDefault="00DC2E8D" w:rsidP="0049392B">
      <w:pPr>
        <w:spacing w:after="0" w:line="240" w:lineRule="auto"/>
        <w:jc w:val="both"/>
      </w:pPr>
      <w:r>
        <w:t>An</w:t>
      </w:r>
      <w:r w:rsidR="0049392B">
        <w:t>y</w:t>
      </w:r>
      <w:r>
        <w:t xml:space="preserve"> officer </w:t>
      </w:r>
      <w:r w:rsidR="00A1570C">
        <w:t xml:space="preserve">who is authorised </w:t>
      </w:r>
      <w:r>
        <w:t xml:space="preserve">to exercise a delegated power must do so in accordance with: </w:t>
      </w:r>
    </w:p>
    <w:p w:rsidR="0049392B" w:rsidRDefault="0049392B" w:rsidP="0049392B">
      <w:pPr>
        <w:spacing w:after="0" w:line="240" w:lineRule="auto"/>
        <w:jc w:val="both"/>
      </w:pPr>
    </w:p>
    <w:p w:rsidR="0049392B" w:rsidRPr="0049392B" w:rsidRDefault="00DC2E8D" w:rsidP="004939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b/>
          <w:color w:val="000000"/>
          <w:sz w:val="44"/>
          <w:szCs w:val="20"/>
        </w:rPr>
      </w:pPr>
      <w:r>
        <w:t xml:space="preserve">all statutory and other legal requirements, including the Human Rights Act 1998, statutory guidance and statutory codes of practice; </w:t>
      </w:r>
    </w:p>
    <w:p w:rsidR="0049392B" w:rsidRPr="0049392B" w:rsidRDefault="0049392B" w:rsidP="0049392B">
      <w:pPr>
        <w:pStyle w:val="ListParagraph"/>
        <w:spacing w:after="0" w:line="240" w:lineRule="auto"/>
        <w:ind w:left="1080"/>
        <w:rPr>
          <w:rFonts w:eastAsia="Times New Roman" w:cs="Arial"/>
          <w:b/>
          <w:color w:val="000000"/>
        </w:rPr>
      </w:pPr>
    </w:p>
    <w:p w:rsidR="0049392B" w:rsidRPr="0049392B" w:rsidRDefault="00DC2E8D" w:rsidP="004939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b/>
          <w:color w:val="000000"/>
          <w:sz w:val="44"/>
          <w:szCs w:val="20"/>
        </w:rPr>
      </w:pPr>
      <w:r>
        <w:t xml:space="preserve">the Constitution of the </w:t>
      </w:r>
      <w:r w:rsidR="0049392B">
        <w:t>Corporation</w:t>
      </w:r>
      <w:r>
        <w:t xml:space="preserve">; </w:t>
      </w:r>
    </w:p>
    <w:p w:rsidR="0049392B" w:rsidRDefault="0049392B" w:rsidP="0049392B">
      <w:pPr>
        <w:pStyle w:val="ListParagraph"/>
      </w:pPr>
    </w:p>
    <w:p w:rsidR="0049392B" w:rsidRPr="0049392B" w:rsidRDefault="0049392B" w:rsidP="004939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b/>
          <w:color w:val="000000"/>
          <w:sz w:val="44"/>
          <w:szCs w:val="20"/>
        </w:rPr>
      </w:pPr>
      <w:r>
        <w:t xml:space="preserve">the Financial Regulations, </w:t>
      </w:r>
      <w:r w:rsidR="00DC2E8D">
        <w:t xml:space="preserve">the </w:t>
      </w:r>
      <w:r>
        <w:t>b</w:t>
      </w:r>
      <w:r w:rsidR="00DC2E8D">
        <w:t xml:space="preserve">udget and </w:t>
      </w:r>
      <w:r>
        <w:t>p</w:t>
      </w:r>
      <w:r w:rsidR="00DC2E8D">
        <w:t xml:space="preserve">olicy </w:t>
      </w:r>
      <w:r>
        <w:t>f</w:t>
      </w:r>
      <w:r w:rsidR="00DC2E8D">
        <w:t xml:space="preserve">ramework and approved policies, plans and strategies; </w:t>
      </w:r>
    </w:p>
    <w:p w:rsidR="0049392B" w:rsidRDefault="0049392B" w:rsidP="0049392B">
      <w:pPr>
        <w:pStyle w:val="ListParagraph"/>
      </w:pPr>
    </w:p>
    <w:p w:rsidR="00887DCE" w:rsidRPr="0049392B" w:rsidRDefault="00DC2E8D" w:rsidP="004939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b/>
          <w:color w:val="000000"/>
          <w:sz w:val="44"/>
          <w:szCs w:val="20"/>
        </w:rPr>
      </w:pPr>
      <w:r>
        <w:t>any other policies, req</w:t>
      </w:r>
      <w:r w:rsidR="0049392B">
        <w:t>uirements or procedures of the Corporation,</w:t>
      </w:r>
      <w:r>
        <w:t xml:space="preserve"> inc</w:t>
      </w:r>
      <w:r w:rsidR="00A1570C">
        <w:t>luding any requirement of this S</w:t>
      </w:r>
      <w:r>
        <w:t>cheme.</w:t>
      </w:r>
    </w:p>
    <w:p w:rsidR="00887DCE" w:rsidRPr="00887D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Document Ownership: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Clerk to the Corporation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Joanna Green: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(Date): </w:t>
      </w:r>
      <w:r w:rsidRPr="00755286">
        <w:rPr>
          <w:rFonts w:eastAsia="Times New Roman" w:cs="Arial"/>
          <w:color w:val="000000"/>
          <w:szCs w:val="20"/>
        </w:rPr>
        <w:t>N/A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Document Title: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Scheme of Delegation – June 2022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Status: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Approved – 15 July 2022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Reviewed By: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Search &amp; Governance Committee – 24 June 2022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Approved By: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Corporation – 15 July 2022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Shared with Unions for comments: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UCU: no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Unison: no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Publication Date: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15 July 2022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Review Date: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Concomitant with Financial Regulations review</w:t>
      </w: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</w:p>
    <w:p w:rsidR="00755286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lastRenderedPageBreak/>
        <w:t>Reason for Update:</w:t>
      </w:r>
    </w:p>
    <w:p w:rsidR="00A27BCE" w:rsidRPr="00755286" w:rsidRDefault="00755286" w:rsidP="00755286">
      <w:pPr>
        <w:spacing w:after="0" w:line="240" w:lineRule="auto"/>
        <w:rPr>
          <w:rFonts w:eastAsia="Times New Roman" w:cs="Arial"/>
          <w:color w:val="000000"/>
          <w:szCs w:val="20"/>
        </w:rPr>
      </w:pPr>
      <w:r w:rsidRPr="00755286">
        <w:rPr>
          <w:rFonts w:eastAsia="Times New Roman" w:cs="Arial"/>
          <w:color w:val="000000"/>
          <w:szCs w:val="20"/>
        </w:rPr>
        <w:t>Update to reflect changes to other documents and arrangements.</w:t>
      </w:r>
    </w:p>
    <w:p w:rsidR="00A27BCE" w:rsidRDefault="00A27BCE" w:rsidP="00887DCE">
      <w:pPr>
        <w:spacing w:after="0" w:line="240" w:lineRule="auto"/>
        <w:ind w:firstLine="720"/>
        <w:jc w:val="center"/>
        <w:rPr>
          <w:rFonts w:eastAsia="Times New Roman" w:cs="Arial"/>
          <w:b/>
          <w:color w:val="000000"/>
          <w:sz w:val="28"/>
          <w:szCs w:val="20"/>
        </w:rPr>
      </w:pPr>
    </w:p>
    <w:p w:rsidR="00443997" w:rsidRDefault="00443997" w:rsidP="00755286">
      <w:pPr>
        <w:spacing w:after="0" w:line="240" w:lineRule="auto"/>
        <w:rPr>
          <w:rFonts w:eastAsia="Times New Roman" w:cs="Arial"/>
          <w:b/>
          <w:color w:val="000000"/>
          <w:sz w:val="28"/>
          <w:szCs w:val="20"/>
        </w:rPr>
      </w:pPr>
    </w:p>
    <w:p w:rsidR="00887DCE" w:rsidRPr="00887DCE" w:rsidRDefault="00936C37" w:rsidP="00755286">
      <w:pPr>
        <w:pStyle w:val="Heading1"/>
      </w:pPr>
      <w:r>
        <w:t>K</w:t>
      </w:r>
      <w:r w:rsidR="00755286">
        <w:t>irklees College Scheme of Delegation</w:t>
      </w:r>
    </w:p>
    <w:p w:rsidR="00887DCE" w:rsidRPr="00A27BCE" w:rsidRDefault="00887DCE" w:rsidP="00887DCE">
      <w:pPr>
        <w:spacing w:after="0" w:line="240" w:lineRule="auto"/>
        <w:jc w:val="center"/>
        <w:rPr>
          <w:rFonts w:eastAsia="Times New Roman" w:cs="Arial"/>
          <w:b/>
          <w:color w:val="000000"/>
          <w:sz w:val="14"/>
          <w:szCs w:val="14"/>
        </w:rPr>
      </w:pPr>
      <w:r w:rsidRPr="00887DCE">
        <w:rPr>
          <w:rFonts w:eastAsia="Times New Roman" w:cs="Arial"/>
          <w:b/>
          <w:color w:val="000000"/>
          <w:sz w:val="28"/>
          <w:szCs w:val="20"/>
        </w:rPr>
        <w:t xml:space="preserve"> </w:t>
      </w:r>
    </w:p>
    <w:p w:rsidR="00887DCE" w:rsidRPr="00887DCE" w:rsidRDefault="00887DCE" w:rsidP="00887DCE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0"/>
        </w:rPr>
      </w:pPr>
      <w:bookmarkStart w:id="0" w:name="NN1"/>
      <w:bookmarkStart w:id="1" w:name="NN14"/>
      <w:bookmarkEnd w:id="0"/>
      <w:bookmarkEnd w:id="1"/>
    </w:p>
    <w:p w:rsidR="001F3C37" w:rsidRDefault="00887DCE" w:rsidP="00755286">
      <w:pPr>
        <w:pStyle w:val="Heading2"/>
      </w:pPr>
      <w:r w:rsidRPr="001F3C37">
        <w:t>I</w:t>
      </w:r>
      <w:r w:rsidR="00755286">
        <w:t>ntroduction</w:t>
      </w:r>
    </w:p>
    <w:p w:rsidR="00AD6B17" w:rsidRDefault="00BA2662" w:rsidP="00B04D8F">
      <w:pPr>
        <w:pStyle w:val="ListParagraph"/>
        <w:numPr>
          <w:ilvl w:val="1"/>
          <w:numId w:val="1"/>
        </w:numPr>
        <w:ind w:left="709" w:hanging="709"/>
        <w:jc w:val="both"/>
        <w:rPr>
          <w:rFonts w:cs="Arial"/>
          <w:szCs w:val="24"/>
        </w:rPr>
      </w:pPr>
      <w:r w:rsidRPr="00BA2662">
        <w:rPr>
          <w:rFonts w:cs="Arial"/>
          <w:szCs w:val="24"/>
        </w:rPr>
        <w:t xml:space="preserve">The Further Education Corporation which conducts </w:t>
      </w:r>
      <w:r w:rsidR="00936C37">
        <w:rPr>
          <w:rFonts w:cs="Arial"/>
          <w:szCs w:val="24"/>
        </w:rPr>
        <w:t>Kirklees</w:t>
      </w:r>
      <w:r w:rsidRPr="00BA2662">
        <w:rPr>
          <w:rFonts w:cs="Arial"/>
          <w:szCs w:val="24"/>
        </w:rPr>
        <w:t xml:space="preserve"> College (“the Corporation”) is</w:t>
      </w:r>
      <w:r>
        <w:rPr>
          <w:rFonts w:cs="Arial"/>
          <w:szCs w:val="24"/>
        </w:rPr>
        <w:t xml:space="preserve"> </w:t>
      </w:r>
      <w:r w:rsidR="00AD6B17">
        <w:rPr>
          <w:rFonts w:cs="Arial"/>
          <w:szCs w:val="24"/>
        </w:rPr>
        <w:t>a legal personality</w:t>
      </w:r>
      <w:r w:rsidR="006B5061">
        <w:rPr>
          <w:rFonts w:cs="Arial"/>
          <w:szCs w:val="24"/>
        </w:rPr>
        <w:t>, meaning</w:t>
      </w:r>
      <w:r w:rsidR="00DF3B2F">
        <w:rPr>
          <w:rFonts w:cs="Arial"/>
          <w:szCs w:val="24"/>
        </w:rPr>
        <w:t xml:space="preserve"> it is</w:t>
      </w:r>
      <w:r w:rsidR="00AD6B17">
        <w:rPr>
          <w:rFonts w:cs="Arial"/>
          <w:szCs w:val="24"/>
        </w:rPr>
        <w:t xml:space="preserve"> recognised in law a</w:t>
      </w:r>
      <w:r w:rsidR="00AD6B17" w:rsidRPr="00C3789B">
        <w:rPr>
          <w:rFonts w:cs="Arial"/>
          <w:szCs w:val="24"/>
        </w:rPr>
        <w:t xml:space="preserve">s </w:t>
      </w:r>
      <w:r w:rsidR="009B462B">
        <w:rPr>
          <w:rFonts w:cs="Arial"/>
          <w:szCs w:val="24"/>
        </w:rPr>
        <w:t>a</w:t>
      </w:r>
      <w:r w:rsidR="006B5061">
        <w:rPr>
          <w:rFonts w:cs="Arial"/>
          <w:szCs w:val="24"/>
        </w:rPr>
        <w:t>n</w:t>
      </w:r>
      <w:r w:rsidR="009B462B">
        <w:rPr>
          <w:rFonts w:cs="Arial"/>
          <w:szCs w:val="24"/>
        </w:rPr>
        <w:t xml:space="preserve"> entity </w:t>
      </w:r>
      <w:r w:rsidR="0049392B">
        <w:rPr>
          <w:rFonts w:cs="Arial"/>
          <w:szCs w:val="24"/>
        </w:rPr>
        <w:t>having</w:t>
      </w:r>
      <w:r w:rsidR="009B462B">
        <w:rPr>
          <w:rFonts w:cs="Arial"/>
          <w:szCs w:val="24"/>
        </w:rPr>
        <w:t xml:space="preserve"> the </w:t>
      </w:r>
      <w:r w:rsidR="00AD6B17" w:rsidRPr="00C3789B">
        <w:rPr>
          <w:rFonts w:cs="Arial"/>
          <w:szCs w:val="24"/>
        </w:rPr>
        <w:t xml:space="preserve">capacity to sue and be sued </w:t>
      </w:r>
      <w:r w:rsidR="006B5061">
        <w:rPr>
          <w:rFonts w:cs="Arial"/>
          <w:szCs w:val="24"/>
        </w:rPr>
        <w:t xml:space="preserve">in its own name </w:t>
      </w:r>
      <w:r w:rsidR="00AD6B17" w:rsidRPr="00C3789B">
        <w:rPr>
          <w:rFonts w:cs="Arial"/>
          <w:szCs w:val="24"/>
        </w:rPr>
        <w:t xml:space="preserve">and </w:t>
      </w:r>
      <w:r w:rsidR="00B04D8F">
        <w:rPr>
          <w:rFonts w:cs="Arial"/>
          <w:szCs w:val="24"/>
        </w:rPr>
        <w:t xml:space="preserve">to </w:t>
      </w:r>
      <w:r w:rsidR="00AD6B17" w:rsidRPr="00C3789B">
        <w:rPr>
          <w:rFonts w:cs="Arial"/>
          <w:szCs w:val="24"/>
        </w:rPr>
        <w:t xml:space="preserve">enter into legal transactions such as holding property or entering into debt.  </w:t>
      </w:r>
      <w:r>
        <w:rPr>
          <w:rFonts w:cs="Arial"/>
          <w:szCs w:val="24"/>
        </w:rPr>
        <w:t>E</w:t>
      </w:r>
      <w:r w:rsidRPr="00BA2662">
        <w:rPr>
          <w:rFonts w:cs="Arial"/>
          <w:szCs w:val="24"/>
        </w:rPr>
        <w:t>stablished by statutory instrument</w:t>
      </w:r>
      <w:r>
        <w:rPr>
          <w:rFonts w:cs="Arial"/>
          <w:szCs w:val="24"/>
        </w:rPr>
        <w:t xml:space="preserve">, </w:t>
      </w:r>
      <w:r w:rsidR="00337E0D">
        <w:rPr>
          <w:rFonts w:cs="Arial"/>
          <w:szCs w:val="24"/>
        </w:rPr>
        <w:t>it</w:t>
      </w:r>
      <w:r>
        <w:rPr>
          <w:rFonts w:cs="Arial"/>
          <w:szCs w:val="24"/>
        </w:rPr>
        <w:t xml:space="preserve"> </w:t>
      </w:r>
      <w:r w:rsidRPr="00BA2662">
        <w:rPr>
          <w:rFonts w:cs="Arial"/>
          <w:szCs w:val="24"/>
        </w:rPr>
        <w:t>derives its powers from the Further and Higher Education Act 1992</w:t>
      </w:r>
      <w:r w:rsidR="00DF3B2F">
        <w:rPr>
          <w:rFonts w:cs="Arial"/>
          <w:szCs w:val="24"/>
        </w:rPr>
        <w:t xml:space="preserve"> and has obligations under its funding </w:t>
      </w:r>
      <w:r w:rsidR="00741706">
        <w:rPr>
          <w:rFonts w:cs="Arial"/>
          <w:szCs w:val="24"/>
        </w:rPr>
        <w:t xml:space="preserve">agreements </w:t>
      </w:r>
      <w:r w:rsidR="00DF3B2F">
        <w:rPr>
          <w:rFonts w:cs="Arial"/>
          <w:szCs w:val="24"/>
        </w:rPr>
        <w:t>and other contracts.</w:t>
      </w:r>
      <w:r w:rsidRPr="00BA2662">
        <w:rPr>
          <w:rFonts w:cs="Arial"/>
          <w:szCs w:val="24"/>
        </w:rPr>
        <w:t xml:space="preserve">   </w:t>
      </w:r>
    </w:p>
    <w:p w:rsidR="00AD6B17" w:rsidRDefault="00AD6B17" w:rsidP="00AD6B17">
      <w:pPr>
        <w:pStyle w:val="ListParagraph"/>
        <w:ind w:left="709"/>
        <w:rPr>
          <w:rFonts w:cs="Arial"/>
          <w:szCs w:val="24"/>
        </w:rPr>
      </w:pPr>
    </w:p>
    <w:p w:rsidR="000E35C1" w:rsidRDefault="00741706" w:rsidP="00B04D8F">
      <w:pPr>
        <w:pStyle w:val="ListParagraph"/>
        <w:numPr>
          <w:ilvl w:val="1"/>
          <w:numId w:val="1"/>
        </w:num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Corporation has </w:t>
      </w:r>
      <w:r w:rsidR="00AD6B17" w:rsidRPr="00B04D8F">
        <w:rPr>
          <w:rFonts w:cs="Arial"/>
          <w:szCs w:val="24"/>
        </w:rPr>
        <w:t xml:space="preserve">certain </w:t>
      </w:r>
      <w:r w:rsidR="00AC6BF7" w:rsidRPr="00B04D8F">
        <w:rPr>
          <w:rFonts w:cs="Arial"/>
          <w:szCs w:val="24"/>
        </w:rPr>
        <w:t xml:space="preserve">functions expressly reserved to </w:t>
      </w:r>
      <w:r>
        <w:rPr>
          <w:rFonts w:cs="Arial"/>
          <w:szCs w:val="24"/>
        </w:rPr>
        <w:t xml:space="preserve">it </w:t>
      </w:r>
      <w:r w:rsidR="00B04D8F">
        <w:rPr>
          <w:rFonts w:cs="Arial"/>
          <w:szCs w:val="24"/>
        </w:rPr>
        <w:t>in law</w:t>
      </w:r>
      <w:r>
        <w:rPr>
          <w:rFonts w:cs="Arial"/>
          <w:szCs w:val="24"/>
        </w:rPr>
        <w:t xml:space="preserve"> but delegates </w:t>
      </w:r>
      <w:r w:rsidR="006B5061">
        <w:rPr>
          <w:rFonts w:cs="Arial"/>
          <w:szCs w:val="24"/>
        </w:rPr>
        <w:t>the operational management of</w:t>
      </w:r>
      <w:r>
        <w:rPr>
          <w:rFonts w:cs="Arial"/>
          <w:szCs w:val="24"/>
        </w:rPr>
        <w:t xml:space="preserve"> </w:t>
      </w:r>
      <w:r w:rsidR="0049392B">
        <w:rPr>
          <w:rFonts w:cs="Arial"/>
          <w:szCs w:val="24"/>
        </w:rPr>
        <w:t>its</w:t>
      </w:r>
      <w:r>
        <w:rPr>
          <w:rFonts w:cs="Arial"/>
          <w:szCs w:val="24"/>
        </w:rPr>
        <w:t xml:space="preserve"> business</w:t>
      </w:r>
      <w:r w:rsidR="00B04D8F">
        <w:rPr>
          <w:rFonts w:cs="Arial"/>
          <w:szCs w:val="24"/>
        </w:rPr>
        <w:t xml:space="preserve"> t</w:t>
      </w:r>
      <w:r w:rsidR="00AC6BF7" w:rsidRPr="00B04D8F">
        <w:rPr>
          <w:rFonts w:cs="Arial"/>
          <w:szCs w:val="24"/>
        </w:rPr>
        <w:t xml:space="preserve">o </w:t>
      </w:r>
      <w:r w:rsidR="00936C37">
        <w:rPr>
          <w:rFonts w:cs="Arial"/>
          <w:szCs w:val="24"/>
        </w:rPr>
        <w:t>the</w:t>
      </w:r>
      <w:r w:rsidR="00AC6BF7" w:rsidRPr="00B04D8F">
        <w:rPr>
          <w:rFonts w:cs="Arial"/>
          <w:szCs w:val="24"/>
        </w:rPr>
        <w:t xml:space="preserve"> </w:t>
      </w:r>
      <w:r w:rsidR="00A27BCE">
        <w:rPr>
          <w:rFonts w:cs="Arial"/>
          <w:szCs w:val="24"/>
        </w:rPr>
        <w:t>Principal/CEO</w:t>
      </w:r>
      <w:r w:rsidR="00936C37">
        <w:rPr>
          <w:rFonts w:cs="Arial"/>
          <w:szCs w:val="24"/>
        </w:rPr>
        <w:t>/</w:t>
      </w:r>
      <w:r w:rsidR="00AC6BF7" w:rsidRPr="00B04D8F">
        <w:rPr>
          <w:rFonts w:cs="Arial"/>
          <w:szCs w:val="24"/>
        </w:rPr>
        <w:t>Chief Executive,</w:t>
      </w:r>
      <w:r w:rsidR="00AD6B17" w:rsidRPr="00B04D8F">
        <w:rPr>
          <w:rFonts w:cs="Arial"/>
          <w:szCs w:val="24"/>
        </w:rPr>
        <w:t xml:space="preserve"> </w:t>
      </w:r>
      <w:r w:rsidR="006B5061">
        <w:rPr>
          <w:rFonts w:cs="Arial"/>
          <w:szCs w:val="24"/>
        </w:rPr>
        <w:t xml:space="preserve">along with </w:t>
      </w:r>
      <w:r w:rsidR="00AD6B17" w:rsidRPr="00B04D8F">
        <w:rPr>
          <w:rFonts w:cs="Arial"/>
          <w:szCs w:val="24"/>
        </w:rPr>
        <w:t xml:space="preserve">Senior </w:t>
      </w:r>
      <w:r w:rsidR="00936C37">
        <w:rPr>
          <w:rFonts w:cs="Arial"/>
          <w:szCs w:val="24"/>
        </w:rPr>
        <w:t>Post Holders and</w:t>
      </w:r>
      <w:r w:rsidR="00AC6BF7" w:rsidRPr="00B04D8F">
        <w:rPr>
          <w:rFonts w:cs="Arial"/>
          <w:szCs w:val="24"/>
        </w:rPr>
        <w:t xml:space="preserve"> </w:t>
      </w:r>
      <w:r w:rsidR="00936C37">
        <w:rPr>
          <w:rFonts w:cs="Arial"/>
          <w:szCs w:val="24"/>
        </w:rPr>
        <w:t xml:space="preserve">a Senior Leadership </w:t>
      </w:r>
      <w:r w:rsidR="00AD6B17" w:rsidRPr="00B04D8F">
        <w:rPr>
          <w:rFonts w:cs="Arial"/>
          <w:szCs w:val="24"/>
        </w:rPr>
        <w:t>team</w:t>
      </w:r>
      <w:r w:rsidR="00936C37">
        <w:rPr>
          <w:rFonts w:cs="Arial"/>
          <w:szCs w:val="24"/>
        </w:rPr>
        <w:t xml:space="preserve">. </w:t>
      </w:r>
      <w:r w:rsidR="00AD6B17" w:rsidRPr="00B04D8F">
        <w:rPr>
          <w:rFonts w:cs="Arial"/>
          <w:szCs w:val="24"/>
        </w:rPr>
        <w:t xml:space="preserve"> </w:t>
      </w:r>
      <w:r w:rsidR="006B5061">
        <w:rPr>
          <w:rFonts w:cs="Arial"/>
          <w:szCs w:val="24"/>
        </w:rPr>
        <w:t>In addition to the powers and responsibilities delegated by the Corporation, t</w:t>
      </w:r>
      <w:r>
        <w:rPr>
          <w:rFonts w:cs="Arial"/>
          <w:szCs w:val="24"/>
        </w:rPr>
        <w:t>he Chief Executive and other members of the College staff have</w:t>
      </w:r>
      <w:r w:rsidR="009B462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functions and responsibilities </w:t>
      </w:r>
      <w:r w:rsidR="006B5061">
        <w:rPr>
          <w:rFonts w:cs="Arial"/>
          <w:szCs w:val="24"/>
        </w:rPr>
        <w:t>deriving</w:t>
      </w:r>
      <w:r w:rsidR="009B462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from, for example, the</w:t>
      </w:r>
      <w:r w:rsidR="00936C37">
        <w:rPr>
          <w:rFonts w:cs="Arial"/>
          <w:szCs w:val="24"/>
        </w:rPr>
        <w:t xml:space="preserve"> Edu</w:t>
      </w:r>
      <w:r w:rsidR="00236C34">
        <w:rPr>
          <w:rFonts w:cs="Arial"/>
          <w:szCs w:val="24"/>
        </w:rPr>
        <w:t>cation &amp; Skills Funding Agency (“ESFA”)</w:t>
      </w:r>
      <w:r w:rsidR="00936C37">
        <w:rPr>
          <w:rFonts w:cs="Arial"/>
          <w:szCs w:val="24"/>
        </w:rPr>
        <w:t xml:space="preserve"> Conditions of Funding</w:t>
      </w:r>
      <w:r w:rsidR="00A1570C">
        <w:rPr>
          <w:rFonts w:cs="Arial"/>
          <w:szCs w:val="24"/>
        </w:rPr>
        <w:t xml:space="preserve"> </w:t>
      </w:r>
      <w:r w:rsidR="00A1570C" w:rsidRPr="00A1570C">
        <w:rPr>
          <w:rFonts w:cs="Arial"/>
          <w:szCs w:val="24"/>
        </w:rPr>
        <w:t>(Grant) agreement with colleges</w:t>
      </w:r>
      <w:r w:rsidR="00774C47">
        <w:rPr>
          <w:rFonts w:cs="Arial"/>
          <w:szCs w:val="24"/>
        </w:rPr>
        <w:t xml:space="preserve"> (the “Conditions of Funding”)</w:t>
      </w:r>
      <w:r w:rsidR="00936C3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</w:t>
      </w:r>
    </w:p>
    <w:p w:rsidR="000E35C1" w:rsidRPr="000E35C1" w:rsidRDefault="000E35C1" w:rsidP="000E35C1">
      <w:pPr>
        <w:pStyle w:val="ListParagraph"/>
        <w:rPr>
          <w:rFonts w:cs="Arial"/>
          <w:szCs w:val="24"/>
        </w:rPr>
      </w:pPr>
    </w:p>
    <w:p w:rsidR="000E35C1" w:rsidRDefault="000E35C1" w:rsidP="00B03711">
      <w:pPr>
        <w:pStyle w:val="ListParagraph"/>
        <w:numPr>
          <w:ilvl w:val="1"/>
          <w:numId w:val="1"/>
        </w:numPr>
        <w:ind w:left="709" w:hanging="709"/>
        <w:jc w:val="both"/>
        <w:rPr>
          <w:rFonts w:cs="Arial"/>
          <w:szCs w:val="24"/>
        </w:rPr>
      </w:pPr>
      <w:r w:rsidRPr="000E35C1">
        <w:rPr>
          <w:rFonts w:cs="Arial"/>
          <w:szCs w:val="24"/>
        </w:rPr>
        <w:t>Except as otherwise provided,</w:t>
      </w:r>
      <w:r w:rsidR="006B5061">
        <w:rPr>
          <w:rFonts w:cs="Arial"/>
          <w:szCs w:val="24"/>
        </w:rPr>
        <w:t xml:space="preserve"> individuals and bodies to whom the Corporation has delegated </w:t>
      </w:r>
      <w:r w:rsidRPr="000E35C1">
        <w:rPr>
          <w:rFonts w:cs="Arial"/>
          <w:szCs w:val="24"/>
        </w:rPr>
        <w:t xml:space="preserve">authority </w:t>
      </w:r>
      <w:r w:rsidR="009B462B">
        <w:rPr>
          <w:rFonts w:cs="Arial"/>
          <w:szCs w:val="24"/>
        </w:rPr>
        <w:t>may</w:t>
      </w:r>
      <w:r>
        <w:rPr>
          <w:rFonts w:cs="Arial"/>
          <w:szCs w:val="24"/>
        </w:rPr>
        <w:t xml:space="preserve"> further </w:t>
      </w:r>
      <w:r w:rsidRPr="000E35C1">
        <w:rPr>
          <w:rFonts w:cs="Arial"/>
          <w:szCs w:val="24"/>
        </w:rPr>
        <w:t xml:space="preserve">delegate to </w:t>
      </w:r>
      <w:r w:rsidR="006B5061">
        <w:rPr>
          <w:rFonts w:cs="Arial"/>
          <w:szCs w:val="24"/>
        </w:rPr>
        <w:t>other individual</w:t>
      </w:r>
      <w:r w:rsidR="00B03711">
        <w:rPr>
          <w:rFonts w:cs="Arial"/>
          <w:szCs w:val="24"/>
        </w:rPr>
        <w:t>s</w:t>
      </w:r>
      <w:r w:rsidR="006B5061">
        <w:rPr>
          <w:rFonts w:cs="Arial"/>
          <w:szCs w:val="24"/>
        </w:rPr>
        <w:t xml:space="preserve"> or bod</w:t>
      </w:r>
      <w:r w:rsidR="00B03711">
        <w:rPr>
          <w:rFonts w:cs="Arial"/>
          <w:szCs w:val="24"/>
        </w:rPr>
        <w:t>ies</w:t>
      </w:r>
      <w:r w:rsidR="006B5061">
        <w:rPr>
          <w:rFonts w:cs="Arial"/>
          <w:szCs w:val="24"/>
        </w:rPr>
        <w:t xml:space="preserve">, provided that he, she or it reasonably considers that </w:t>
      </w:r>
      <w:r w:rsidR="0049392B">
        <w:rPr>
          <w:rFonts w:cs="Arial"/>
          <w:szCs w:val="24"/>
        </w:rPr>
        <w:t xml:space="preserve">the </w:t>
      </w:r>
      <w:r w:rsidR="006B5061">
        <w:rPr>
          <w:rFonts w:cs="Arial"/>
          <w:szCs w:val="24"/>
        </w:rPr>
        <w:t>individual or body</w:t>
      </w:r>
      <w:r w:rsidR="00B03711">
        <w:rPr>
          <w:rFonts w:cs="Arial"/>
          <w:szCs w:val="24"/>
        </w:rPr>
        <w:t xml:space="preserve"> in question</w:t>
      </w:r>
      <w:r w:rsidR="006B5061">
        <w:rPr>
          <w:rFonts w:cs="Arial"/>
          <w:szCs w:val="24"/>
        </w:rPr>
        <w:t xml:space="preserve"> </w:t>
      </w:r>
      <w:r w:rsidR="0049392B">
        <w:rPr>
          <w:rFonts w:cs="Arial"/>
          <w:szCs w:val="24"/>
        </w:rPr>
        <w:t>is</w:t>
      </w:r>
      <w:r w:rsidR="006B5061">
        <w:rPr>
          <w:rFonts w:cs="Arial"/>
          <w:szCs w:val="24"/>
        </w:rPr>
        <w:t xml:space="preserve"> approp</w:t>
      </w:r>
      <w:r w:rsidR="00A27BCE">
        <w:rPr>
          <w:rFonts w:cs="Arial"/>
          <w:szCs w:val="24"/>
        </w:rPr>
        <w:t xml:space="preserve">riately skilled and accountable </w:t>
      </w:r>
      <w:r w:rsidR="006B5061">
        <w:rPr>
          <w:rFonts w:cs="Arial"/>
          <w:szCs w:val="24"/>
        </w:rPr>
        <w:t xml:space="preserve">and </w:t>
      </w:r>
      <w:r w:rsidRPr="000E35C1">
        <w:rPr>
          <w:rFonts w:cs="Arial"/>
          <w:szCs w:val="24"/>
        </w:rPr>
        <w:t>provided that such delegation is consistent with the Corporation’s Instrument and Articles of Government</w:t>
      </w:r>
      <w:r w:rsidR="0089347A">
        <w:rPr>
          <w:rFonts w:cs="Arial"/>
          <w:szCs w:val="24"/>
        </w:rPr>
        <w:t>;</w:t>
      </w:r>
      <w:r w:rsidRPr="000E35C1">
        <w:rPr>
          <w:rFonts w:cs="Arial"/>
          <w:szCs w:val="24"/>
        </w:rPr>
        <w:t xml:space="preserve"> its Standing Orders</w:t>
      </w:r>
      <w:r w:rsidR="0089347A">
        <w:rPr>
          <w:rFonts w:cs="Arial"/>
          <w:szCs w:val="24"/>
        </w:rPr>
        <w:t>;</w:t>
      </w:r>
      <w:r w:rsidRPr="000E35C1">
        <w:rPr>
          <w:rFonts w:cs="Arial"/>
          <w:szCs w:val="24"/>
        </w:rPr>
        <w:t xml:space="preserve"> any restrictions contained within the </w:t>
      </w:r>
      <w:r w:rsidR="00774C47">
        <w:rPr>
          <w:rFonts w:cs="Arial"/>
          <w:szCs w:val="24"/>
        </w:rPr>
        <w:t>Conditions of Funding</w:t>
      </w:r>
      <w:r w:rsidR="0089347A">
        <w:rPr>
          <w:rFonts w:cs="Arial"/>
          <w:szCs w:val="24"/>
        </w:rPr>
        <w:t xml:space="preserve">; the terms and conditions of other sources of funding; </w:t>
      </w:r>
      <w:r w:rsidRPr="000E35C1">
        <w:rPr>
          <w:rFonts w:cs="Arial"/>
          <w:szCs w:val="24"/>
        </w:rPr>
        <w:t xml:space="preserve">and the </w:t>
      </w:r>
      <w:r w:rsidR="0049392B">
        <w:rPr>
          <w:rFonts w:cs="Arial"/>
          <w:szCs w:val="24"/>
        </w:rPr>
        <w:t>Post 16</w:t>
      </w:r>
      <w:r w:rsidRPr="000E35C1">
        <w:rPr>
          <w:rFonts w:cs="Arial"/>
          <w:szCs w:val="24"/>
        </w:rPr>
        <w:t xml:space="preserve"> Audit Code of Practice.   </w:t>
      </w:r>
    </w:p>
    <w:p w:rsidR="006B5061" w:rsidRPr="006B5061" w:rsidRDefault="006B5061" w:rsidP="006B5061">
      <w:pPr>
        <w:spacing w:after="0" w:line="240" w:lineRule="auto"/>
        <w:jc w:val="both"/>
        <w:rPr>
          <w:rFonts w:cs="Arial"/>
          <w:szCs w:val="24"/>
        </w:rPr>
      </w:pPr>
    </w:p>
    <w:p w:rsidR="00AD6B17" w:rsidRPr="00B04D8F" w:rsidRDefault="00AD6B17" w:rsidP="006B5061">
      <w:pPr>
        <w:pStyle w:val="ListParagraph"/>
        <w:numPr>
          <w:ilvl w:val="1"/>
          <w:numId w:val="1"/>
        </w:numPr>
        <w:ind w:left="709" w:hanging="709"/>
        <w:jc w:val="both"/>
        <w:rPr>
          <w:rFonts w:cs="Arial"/>
          <w:szCs w:val="24"/>
        </w:rPr>
      </w:pPr>
      <w:r w:rsidRPr="00B04D8F">
        <w:rPr>
          <w:rFonts w:cs="Arial"/>
          <w:szCs w:val="24"/>
        </w:rPr>
        <w:t xml:space="preserve">Notwithstanding </w:t>
      </w:r>
      <w:r w:rsidR="000E35C1">
        <w:rPr>
          <w:rFonts w:cs="Arial"/>
          <w:szCs w:val="24"/>
        </w:rPr>
        <w:t>any</w:t>
      </w:r>
      <w:r w:rsidR="00B04D8F">
        <w:rPr>
          <w:rFonts w:cs="Arial"/>
          <w:szCs w:val="24"/>
        </w:rPr>
        <w:t xml:space="preserve"> </w:t>
      </w:r>
      <w:r w:rsidRPr="00B04D8F">
        <w:rPr>
          <w:rFonts w:cs="Arial"/>
          <w:szCs w:val="24"/>
        </w:rPr>
        <w:t>delegation</w:t>
      </w:r>
      <w:r w:rsidR="000E35C1">
        <w:rPr>
          <w:rFonts w:cs="Arial"/>
          <w:szCs w:val="24"/>
        </w:rPr>
        <w:t>s</w:t>
      </w:r>
      <w:r w:rsidR="0049392B">
        <w:rPr>
          <w:rFonts w:cs="Arial"/>
          <w:szCs w:val="24"/>
        </w:rPr>
        <w:t xml:space="preserve"> it makes</w:t>
      </w:r>
      <w:r w:rsidRPr="00B04D8F">
        <w:rPr>
          <w:rFonts w:cs="Arial"/>
          <w:szCs w:val="24"/>
        </w:rPr>
        <w:t>, the Corporation remains accountable</w:t>
      </w:r>
      <w:r w:rsidR="00B04D8F">
        <w:rPr>
          <w:rFonts w:cs="Arial"/>
          <w:szCs w:val="24"/>
        </w:rPr>
        <w:t xml:space="preserve"> </w:t>
      </w:r>
      <w:r w:rsidRPr="00B04D8F">
        <w:rPr>
          <w:rFonts w:cs="Arial"/>
          <w:szCs w:val="24"/>
        </w:rPr>
        <w:t>for</w:t>
      </w:r>
      <w:r w:rsidR="00741706">
        <w:rPr>
          <w:rFonts w:cs="Arial"/>
          <w:szCs w:val="24"/>
        </w:rPr>
        <w:t xml:space="preserve"> the discharge of</w:t>
      </w:r>
      <w:r w:rsidRPr="00B04D8F">
        <w:rPr>
          <w:rFonts w:cs="Arial"/>
          <w:szCs w:val="24"/>
        </w:rPr>
        <w:t xml:space="preserve"> </w:t>
      </w:r>
      <w:r w:rsidR="006B5061">
        <w:rPr>
          <w:rFonts w:cs="Arial"/>
          <w:szCs w:val="24"/>
        </w:rPr>
        <w:t xml:space="preserve">all </w:t>
      </w:r>
      <w:r w:rsidRPr="00B04D8F">
        <w:rPr>
          <w:rFonts w:cs="Arial"/>
          <w:szCs w:val="24"/>
        </w:rPr>
        <w:t>its functions</w:t>
      </w:r>
      <w:r w:rsidR="006B5061">
        <w:rPr>
          <w:rFonts w:cs="Arial"/>
          <w:szCs w:val="24"/>
        </w:rPr>
        <w:t xml:space="preserve"> and meeting all its obligations</w:t>
      </w:r>
      <w:r w:rsidR="0049392B">
        <w:rPr>
          <w:rFonts w:cs="Arial"/>
          <w:szCs w:val="24"/>
        </w:rPr>
        <w:t>.</w:t>
      </w:r>
      <w:r w:rsidR="009B462B">
        <w:rPr>
          <w:rFonts w:cs="Arial"/>
          <w:szCs w:val="24"/>
        </w:rPr>
        <w:t xml:space="preserve"> I</w:t>
      </w:r>
      <w:r w:rsidR="00337E0D">
        <w:rPr>
          <w:rFonts w:cs="Arial"/>
          <w:szCs w:val="24"/>
        </w:rPr>
        <w:t xml:space="preserve">n order to </w:t>
      </w:r>
      <w:r w:rsidR="0049392B">
        <w:rPr>
          <w:rFonts w:cs="Arial"/>
          <w:szCs w:val="24"/>
        </w:rPr>
        <w:t>gain assurance in this regard</w:t>
      </w:r>
      <w:r w:rsidR="00337E0D">
        <w:rPr>
          <w:rFonts w:cs="Arial"/>
          <w:szCs w:val="24"/>
        </w:rPr>
        <w:t>,</w:t>
      </w:r>
      <w:r w:rsidRPr="00B04D8F">
        <w:rPr>
          <w:rFonts w:cs="Arial"/>
          <w:szCs w:val="24"/>
        </w:rPr>
        <w:t xml:space="preserve"> </w:t>
      </w:r>
      <w:r w:rsidR="009B462B">
        <w:rPr>
          <w:rFonts w:cs="Arial"/>
          <w:szCs w:val="24"/>
        </w:rPr>
        <w:t xml:space="preserve">it </w:t>
      </w:r>
      <w:r w:rsidRPr="00B04D8F">
        <w:rPr>
          <w:rFonts w:cs="Arial"/>
          <w:szCs w:val="24"/>
        </w:rPr>
        <w:t>receive</w:t>
      </w:r>
      <w:r w:rsidR="00703C77">
        <w:rPr>
          <w:rFonts w:cs="Arial"/>
          <w:szCs w:val="24"/>
        </w:rPr>
        <w:t>s</w:t>
      </w:r>
      <w:r w:rsidRPr="00B04D8F">
        <w:rPr>
          <w:rFonts w:cs="Arial"/>
          <w:szCs w:val="24"/>
        </w:rPr>
        <w:t xml:space="preserve"> information </w:t>
      </w:r>
      <w:r w:rsidR="0049392B">
        <w:rPr>
          <w:rFonts w:cs="Arial"/>
          <w:szCs w:val="24"/>
        </w:rPr>
        <w:t>for monitoring purposes from those to whom it delegates.</w:t>
      </w:r>
    </w:p>
    <w:p w:rsidR="0062087A" w:rsidRPr="0062087A" w:rsidRDefault="0062087A" w:rsidP="006B5061">
      <w:pPr>
        <w:pStyle w:val="ListParagraph"/>
        <w:spacing w:after="0" w:line="240" w:lineRule="auto"/>
        <w:contextualSpacing w:val="0"/>
        <w:rPr>
          <w:rFonts w:cs="Arial"/>
          <w:szCs w:val="24"/>
        </w:rPr>
      </w:pPr>
    </w:p>
    <w:p w:rsidR="001E02CE" w:rsidRDefault="0062087A" w:rsidP="00741706">
      <w:pPr>
        <w:pStyle w:val="ListParagraph"/>
        <w:numPr>
          <w:ilvl w:val="1"/>
          <w:numId w:val="1"/>
        </w:numPr>
        <w:ind w:left="709" w:hanging="709"/>
        <w:jc w:val="both"/>
        <w:rPr>
          <w:rFonts w:eastAsia="Times New Roman" w:cs="Arial"/>
          <w:szCs w:val="24"/>
        </w:rPr>
      </w:pPr>
      <w:r w:rsidRPr="00AD6B17">
        <w:rPr>
          <w:rFonts w:cs="Arial"/>
          <w:szCs w:val="24"/>
        </w:rPr>
        <w:t xml:space="preserve">The purpose of this document is </w:t>
      </w:r>
      <w:r w:rsidR="00AC6BF7" w:rsidRPr="00AD6B17">
        <w:rPr>
          <w:rFonts w:cs="Arial"/>
          <w:szCs w:val="24"/>
        </w:rPr>
        <w:t>t</w:t>
      </w:r>
      <w:r w:rsidRPr="00AD6B17">
        <w:rPr>
          <w:rFonts w:cs="Arial"/>
          <w:szCs w:val="24"/>
        </w:rPr>
        <w:t xml:space="preserve">o </w:t>
      </w:r>
      <w:r w:rsidR="001F3C37" w:rsidRPr="00AD6B17">
        <w:rPr>
          <w:rFonts w:eastAsia="Times New Roman" w:cs="Arial"/>
          <w:szCs w:val="24"/>
        </w:rPr>
        <w:t>record where authority</w:t>
      </w:r>
      <w:r w:rsidR="00337E0D">
        <w:rPr>
          <w:rFonts w:eastAsia="Times New Roman" w:cs="Arial"/>
          <w:szCs w:val="24"/>
        </w:rPr>
        <w:t xml:space="preserve"> </w:t>
      </w:r>
      <w:r w:rsidR="001F3C37" w:rsidRPr="00AD6B17">
        <w:rPr>
          <w:rFonts w:eastAsia="Times New Roman" w:cs="Arial"/>
          <w:szCs w:val="24"/>
        </w:rPr>
        <w:t>res</w:t>
      </w:r>
      <w:r w:rsidR="00337E0D">
        <w:rPr>
          <w:rFonts w:eastAsia="Times New Roman" w:cs="Arial"/>
          <w:szCs w:val="24"/>
        </w:rPr>
        <w:t>ides</w:t>
      </w:r>
      <w:r w:rsidR="001F3C37" w:rsidRPr="00AD6B17">
        <w:rPr>
          <w:rFonts w:eastAsia="Times New Roman" w:cs="Arial"/>
          <w:szCs w:val="24"/>
        </w:rPr>
        <w:t xml:space="preserve"> within the College for particular types of decisions</w:t>
      </w:r>
      <w:r w:rsidR="0049392B">
        <w:rPr>
          <w:rFonts w:eastAsia="Times New Roman" w:cs="Arial"/>
          <w:szCs w:val="24"/>
        </w:rPr>
        <w:t>, albeit</w:t>
      </w:r>
      <w:r w:rsidR="001F3C37" w:rsidRPr="00AD6B17">
        <w:rPr>
          <w:rFonts w:eastAsia="Times New Roman" w:cs="Arial"/>
          <w:szCs w:val="24"/>
        </w:rPr>
        <w:t xml:space="preserve"> no such schedule can </w:t>
      </w:r>
      <w:r w:rsidR="00337E0D">
        <w:rPr>
          <w:rFonts w:eastAsia="Times New Roman" w:cs="Arial"/>
          <w:szCs w:val="24"/>
        </w:rPr>
        <w:t xml:space="preserve">ever </w:t>
      </w:r>
      <w:r w:rsidR="001F3C37" w:rsidRPr="00AD6B17">
        <w:rPr>
          <w:rFonts w:eastAsia="Times New Roman" w:cs="Arial"/>
          <w:szCs w:val="24"/>
        </w:rPr>
        <w:t>be absolutely comprehensive</w:t>
      </w:r>
      <w:r w:rsidR="00337E0D">
        <w:rPr>
          <w:rFonts w:eastAsia="Times New Roman" w:cs="Arial"/>
          <w:szCs w:val="24"/>
        </w:rPr>
        <w:t xml:space="preserve"> or up-to-date</w:t>
      </w:r>
      <w:r w:rsidR="0049392B">
        <w:rPr>
          <w:rFonts w:eastAsia="Times New Roman" w:cs="Arial"/>
          <w:szCs w:val="24"/>
        </w:rPr>
        <w:t>. It also</w:t>
      </w:r>
      <w:r w:rsidR="001F3C37" w:rsidRPr="00AD6B17">
        <w:rPr>
          <w:rFonts w:eastAsia="Times New Roman" w:cs="Arial"/>
          <w:szCs w:val="24"/>
        </w:rPr>
        <w:t xml:space="preserve"> </w:t>
      </w:r>
      <w:r w:rsidR="0049392B">
        <w:rPr>
          <w:rFonts w:eastAsia="Times New Roman" w:cs="Arial"/>
          <w:szCs w:val="24"/>
        </w:rPr>
        <w:t>explicitly locates</w:t>
      </w:r>
      <w:r w:rsidR="00887DCE" w:rsidRPr="00AD6B17">
        <w:rPr>
          <w:rFonts w:eastAsia="Times New Roman" w:cs="Arial"/>
          <w:szCs w:val="24"/>
        </w:rPr>
        <w:t xml:space="preserve"> the locus of authority for s</w:t>
      </w:r>
      <w:r w:rsidR="0049392B">
        <w:rPr>
          <w:rFonts w:eastAsia="Times New Roman" w:cs="Arial"/>
          <w:szCs w:val="24"/>
        </w:rPr>
        <w:t>pecific categories of decision and</w:t>
      </w:r>
      <w:r w:rsidR="00887DCE" w:rsidRPr="00AD6B17">
        <w:rPr>
          <w:rFonts w:eastAsia="Times New Roman" w:cs="Arial"/>
          <w:szCs w:val="24"/>
        </w:rPr>
        <w:t xml:space="preserve"> forms a frame of reference through which questions about other types of decision</w:t>
      </w:r>
      <w:r w:rsidR="00337E0D">
        <w:rPr>
          <w:rFonts w:eastAsia="Times New Roman" w:cs="Arial"/>
          <w:szCs w:val="24"/>
        </w:rPr>
        <w:t xml:space="preserve"> </w:t>
      </w:r>
      <w:r w:rsidR="00887DCE" w:rsidRPr="00AD6B17">
        <w:rPr>
          <w:rFonts w:eastAsia="Times New Roman" w:cs="Arial"/>
          <w:szCs w:val="24"/>
        </w:rPr>
        <w:t>may be resolved.</w:t>
      </w:r>
    </w:p>
    <w:p w:rsidR="009B462B" w:rsidRDefault="009B462B" w:rsidP="009B462B">
      <w:pPr>
        <w:pStyle w:val="ListParagraph"/>
        <w:ind w:left="709"/>
        <w:jc w:val="both"/>
        <w:rPr>
          <w:rFonts w:eastAsia="Times New Roman" w:cs="Arial"/>
          <w:szCs w:val="24"/>
        </w:rPr>
      </w:pPr>
    </w:p>
    <w:p w:rsidR="00B04D8F" w:rsidRDefault="006F2369" w:rsidP="00703C77">
      <w:pPr>
        <w:pStyle w:val="ListParagraph"/>
        <w:numPr>
          <w:ilvl w:val="1"/>
          <w:numId w:val="1"/>
        </w:numPr>
        <w:ind w:left="709" w:hanging="709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</w:t>
      </w:r>
      <w:r w:rsidR="00B04D8F" w:rsidRPr="00B04D8F">
        <w:rPr>
          <w:rFonts w:eastAsia="Times New Roman" w:cs="Arial"/>
          <w:szCs w:val="24"/>
        </w:rPr>
        <w:t xml:space="preserve"> Corporation expressly reserves th</w:t>
      </w:r>
      <w:r w:rsidR="0049392B">
        <w:rPr>
          <w:rFonts w:eastAsia="Times New Roman" w:cs="Arial"/>
          <w:szCs w:val="24"/>
        </w:rPr>
        <w:t>e right to deal with any matter</w:t>
      </w:r>
      <w:r w:rsidR="00B04D8F" w:rsidRPr="00B04D8F">
        <w:rPr>
          <w:rFonts w:eastAsia="Times New Roman" w:cs="Arial"/>
          <w:szCs w:val="24"/>
        </w:rPr>
        <w:t>, whether generally or exceptionally,</w:t>
      </w:r>
      <w:r>
        <w:rPr>
          <w:rFonts w:eastAsia="Times New Roman" w:cs="Arial"/>
          <w:szCs w:val="24"/>
        </w:rPr>
        <w:t xml:space="preserve"> that it has</w:t>
      </w:r>
      <w:r w:rsidR="00B04D8F" w:rsidRPr="00B04D8F">
        <w:rPr>
          <w:rFonts w:eastAsia="Times New Roman" w:cs="Arial"/>
          <w:szCs w:val="24"/>
        </w:rPr>
        <w:t xml:space="preserve"> previously delegated.</w:t>
      </w:r>
    </w:p>
    <w:p w:rsidR="00741706" w:rsidRPr="00F314AB" w:rsidRDefault="00741706" w:rsidP="00741706">
      <w:pPr>
        <w:pStyle w:val="ListParagraph"/>
        <w:ind w:left="709"/>
        <w:jc w:val="both"/>
        <w:rPr>
          <w:rFonts w:eastAsia="Times New Roman" w:cs="Arial"/>
          <w:szCs w:val="24"/>
        </w:rPr>
      </w:pPr>
    </w:p>
    <w:p w:rsidR="000E35C1" w:rsidRDefault="00337E0D" w:rsidP="00703C77">
      <w:pPr>
        <w:pStyle w:val="ListParagraph"/>
        <w:numPr>
          <w:ilvl w:val="1"/>
          <w:numId w:val="1"/>
        </w:numPr>
        <w:ind w:left="709" w:hanging="709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This document</w:t>
      </w:r>
      <w:r w:rsidR="001E02CE" w:rsidRPr="00AD6B17">
        <w:rPr>
          <w:rFonts w:eastAsia="Times New Roman" w:cs="Arial"/>
          <w:szCs w:val="24"/>
        </w:rPr>
        <w:t xml:space="preserve"> is subordinate to the Co</w:t>
      </w:r>
      <w:r w:rsidR="00AD6B17" w:rsidRPr="00AD6B17">
        <w:rPr>
          <w:rFonts w:eastAsia="Times New Roman" w:cs="Arial"/>
          <w:szCs w:val="24"/>
        </w:rPr>
        <w:t>rporation</w:t>
      </w:r>
      <w:r w:rsidR="001E02CE" w:rsidRPr="00AD6B17">
        <w:rPr>
          <w:rFonts w:eastAsia="Times New Roman" w:cs="Arial"/>
          <w:szCs w:val="24"/>
        </w:rPr>
        <w:t xml:space="preserve">’s Instrument and Articles of Government, its Standing Orders and any restrictions contained within the </w:t>
      </w:r>
      <w:r w:rsidR="00116A78">
        <w:rPr>
          <w:rFonts w:eastAsia="Times New Roman" w:cs="Arial"/>
          <w:szCs w:val="24"/>
        </w:rPr>
        <w:t>Conditions of Funding</w:t>
      </w:r>
      <w:r w:rsidR="001E02CE" w:rsidRPr="00AD6B17">
        <w:rPr>
          <w:rFonts w:eastAsia="Times New Roman" w:cs="Arial"/>
          <w:szCs w:val="24"/>
        </w:rPr>
        <w:t xml:space="preserve"> </w:t>
      </w:r>
      <w:r w:rsidR="00116A78">
        <w:rPr>
          <w:rFonts w:eastAsia="Times New Roman" w:cs="Arial"/>
          <w:szCs w:val="24"/>
        </w:rPr>
        <w:t>and/or the</w:t>
      </w:r>
      <w:r w:rsidR="00C3789B" w:rsidRPr="00AD6B17">
        <w:rPr>
          <w:rFonts w:eastAsia="Times New Roman" w:cs="Arial"/>
          <w:szCs w:val="24"/>
        </w:rPr>
        <w:t xml:space="preserve"> </w:t>
      </w:r>
      <w:r w:rsidR="0049392B">
        <w:rPr>
          <w:rFonts w:eastAsia="Times New Roman" w:cs="Arial"/>
          <w:szCs w:val="24"/>
        </w:rPr>
        <w:t>Post 16</w:t>
      </w:r>
      <w:r w:rsidR="00C3789B" w:rsidRPr="00AD6B17">
        <w:rPr>
          <w:rFonts w:eastAsia="Times New Roman" w:cs="Arial"/>
          <w:szCs w:val="24"/>
        </w:rPr>
        <w:t xml:space="preserve"> Audit Code of Practice</w:t>
      </w:r>
      <w:r w:rsidR="00042CB7">
        <w:rPr>
          <w:rFonts w:eastAsia="Times New Roman" w:cs="Arial"/>
          <w:szCs w:val="24"/>
        </w:rPr>
        <w:t xml:space="preserve"> (“ACOP”)</w:t>
      </w:r>
      <w:r w:rsidR="001E02CE" w:rsidRPr="00AD6B17">
        <w:rPr>
          <w:rFonts w:eastAsia="Times New Roman" w:cs="Arial"/>
          <w:szCs w:val="24"/>
        </w:rPr>
        <w:t xml:space="preserve">. </w:t>
      </w:r>
      <w:r w:rsidR="00741706">
        <w:rPr>
          <w:rFonts w:eastAsia="Times New Roman" w:cs="Arial"/>
          <w:szCs w:val="24"/>
        </w:rPr>
        <w:t>N</w:t>
      </w:r>
      <w:r w:rsidR="00887DCE" w:rsidRPr="00AD6B17">
        <w:rPr>
          <w:rFonts w:eastAsia="Times New Roman" w:cs="Arial"/>
          <w:szCs w:val="24"/>
        </w:rPr>
        <w:t>ote that</w:t>
      </w:r>
      <w:r w:rsidR="00AD6B17">
        <w:rPr>
          <w:rFonts w:eastAsia="Times New Roman" w:cs="Arial"/>
          <w:szCs w:val="24"/>
        </w:rPr>
        <w:t xml:space="preserve"> it </w:t>
      </w:r>
      <w:r w:rsidR="00887DCE" w:rsidRPr="00AD6B17">
        <w:rPr>
          <w:rFonts w:eastAsia="Times New Roman" w:cs="Arial"/>
          <w:szCs w:val="24"/>
        </w:rPr>
        <w:t>purports only to identify responsibility for the final (‘ratification’) stage of decision-making, and not, for example, responsibility for formulating strategic, policy and business proposals</w:t>
      </w:r>
      <w:r w:rsidR="001F3C37" w:rsidRPr="00AD6B17">
        <w:rPr>
          <w:rFonts w:eastAsia="Times New Roman" w:cs="Arial"/>
          <w:szCs w:val="24"/>
        </w:rPr>
        <w:t>.</w:t>
      </w:r>
    </w:p>
    <w:p w:rsidR="000E35C1" w:rsidRPr="00F314AB" w:rsidRDefault="000E35C1" w:rsidP="000E35C1">
      <w:pPr>
        <w:pStyle w:val="ListParagraph"/>
        <w:rPr>
          <w:rFonts w:eastAsia="Times New Roman" w:cs="Arial"/>
          <w:szCs w:val="24"/>
        </w:rPr>
      </w:pPr>
    </w:p>
    <w:p w:rsidR="000E35C1" w:rsidRDefault="000E35C1" w:rsidP="00D86D2F">
      <w:pPr>
        <w:pStyle w:val="ListParagraph"/>
        <w:numPr>
          <w:ilvl w:val="1"/>
          <w:numId w:val="1"/>
        </w:numPr>
        <w:ind w:left="709" w:hanging="709"/>
        <w:jc w:val="both"/>
        <w:rPr>
          <w:rFonts w:cs="Arial"/>
          <w:szCs w:val="24"/>
        </w:rPr>
      </w:pPr>
      <w:r w:rsidRPr="00D86D2F">
        <w:rPr>
          <w:rFonts w:cs="Arial"/>
          <w:szCs w:val="24"/>
        </w:rPr>
        <w:t xml:space="preserve">The </w:t>
      </w:r>
      <w:r w:rsidR="00D86D2F" w:rsidRPr="00D86D2F">
        <w:rPr>
          <w:rFonts w:cs="Arial"/>
          <w:szCs w:val="24"/>
        </w:rPr>
        <w:t xml:space="preserve">following are </w:t>
      </w:r>
      <w:r w:rsidR="00D86D2F">
        <w:rPr>
          <w:rFonts w:cs="Arial"/>
          <w:szCs w:val="24"/>
        </w:rPr>
        <w:t>r</w:t>
      </w:r>
      <w:r w:rsidRPr="00D86D2F">
        <w:rPr>
          <w:rFonts w:cs="Arial"/>
          <w:szCs w:val="24"/>
        </w:rPr>
        <w:t>eserved non-delegable functions of the Corporation</w:t>
      </w:r>
      <w:r w:rsidR="00D86D2F">
        <w:rPr>
          <w:rFonts w:cs="Arial"/>
          <w:szCs w:val="24"/>
        </w:rPr>
        <w:t>:</w:t>
      </w:r>
      <w:r w:rsidRPr="00D86D2F">
        <w:rPr>
          <w:rFonts w:cs="Arial"/>
          <w:szCs w:val="24"/>
        </w:rPr>
        <w:t xml:space="preserve"> </w:t>
      </w:r>
    </w:p>
    <w:p w:rsidR="00755286" w:rsidRPr="00755286" w:rsidRDefault="00755286" w:rsidP="00755286">
      <w:pPr>
        <w:pStyle w:val="ListParagraph"/>
        <w:rPr>
          <w:rFonts w:cs="Arial"/>
          <w:szCs w:val="24"/>
        </w:rPr>
      </w:pP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The discharge of the common law duties of charity trustees in respect of the Corporation and the College.</w:t>
      </w:r>
      <w:r w:rsidRPr="00A33025">
        <w:rPr>
          <w:rFonts w:ascii="Arial" w:hAnsi="Arial" w:cs="Arial"/>
        </w:rPr>
        <w:br/>
        <w:t>Source / Rationale: Common law, Charity Commission guidance.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With the approval of the Secretary of State, changing the name of the Corporation.</w:t>
      </w:r>
      <w:r w:rsidRPr="00A33025">
        <w:rPr>
          <w:rFonts w:ascii="Arial" w:hAnsi="Arial" w:cs="Arial"/>
        </w:rPr>
        <w:br/>
        <w:t>Source /Rationale: S8(a) F&amp;HEA ‘92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Dissolution of the Corporation and transfer of its property, rights and liabilities; and publication of a draft resolution to dissolve the Corporation.</w:t>
      </w:r>
      <w:r w:rsidRPr="00A33025">
        <w:rPr>
          <w:rFonts w:ascii="Arial" w:hAnsi="Arial" w:cs="Arial"/>
        </w:rPr>
        <w:br/>
        <w:t>Source / Rationale: S27, 27A and 27B F&amp;HEA ‘92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Style w:val="Strong"/>
          <w:rFonts w:ascii="Arial" w:hAnsi="Arial" w:cs="Arial"/>
          <w:b w:val="0"/>
        </w:rPr>
        <w:t>Function: Modification or replacement of the Instrument and/or Articles of Government.</w:t>
      </w:r>
      <w:r w:rsidRPr="00A33025">
        <w:rPr>
          <w:rFonts w:ascii="Arial" w:hAnsi="Arial" w:cs="Arial"/>
        </w:rPr>
        <w:br/>
        <w:t>Source / Rationale: S29</w:t>
      </w:r>
      <w:proofErr w:type="gramStart"/>
      <w:r w:rsidRPr="00A33025">
        <w:rPr>
          <w:rFonts w:ascii="Arial" w:hAnsi="Arial" w:cs="Arial"/>
        </w:rPr>
        <w:t>B(</w:t>
      </w:r>
      <w:proofErr w:type="gramEnd"/>
      <w:r w:rsidRPr="00A33025">
        <w:rPr>
          <w:rFonts w:ascii="Arial" w:hAnsi="Arial" w:cs="Arial"/>
        </w:rPr>
        <w:t>2) F&amp;HEA ‘92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Determining all material aspects of the educational character and mission of Kirklees College (and any other institution the Corporation conducts), including by setting the strategic goals and objectives; determining the tuition fees and tuition fee policy; determining the corporate values; approving key strategies; and restricting management discretion by corporate policy-making.</w:t>
      </w:r>
      <w:r w:rsidRPr="00A33025">
        <w:rPr>
          <w:rFonts w:ascii="Arial" w:hAnsi="Arial" w:cs="Arial"/>
        </w:rPr>
        <w:br/>
        <w:t xml:space="preserve">Source / Rationale: </w:t>
      </w:r>
      <w:proofErr w:type="spellStart"/>
      <w:r w:rsidRPr="00A33025">
        <w:rPr>
          <w:rFonts w:ascii="Arial" w:hAnsi="Arial" w:cs="Arial"/>
        </w:rPr>
        <w:t>Sch</w:t>
      </w:r>
      <w:proofErr w:type="spellEnd"/>
      <w:r w:rsidRPr="00A33025">
        <w:rPr>
          <w:rFonts w:ascii="Arial" w:hAnsi="Arial" w:cs="Arial"/>
        </w:rPr>
        <w:t xml:space="preserve"> 4 para. 5(3)(b) Further and Higher Education Act 1992 (“F&amp;HEA ‘92”); Para 3.1, Financial Regulations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Appointing new Governors.</w:t>
      </w:r>
      <w:r w:rsidRPr="00A33025">
        <w:rPr>
          <w:rFonts w:ascii="Arial" w:hAnsi="Arial" w:cs="Arial"/>
        </w:rPr>
        <w:br/>
        <w:t xml:space="preserve">Source / Rationale: </w:t>
      </w:r>
      <w:proofErr w:type="spellStart"/>
      <w:r w:rsidRPr="00A33025">
        <w:rPr>
          <w:rFonts w:ascii="Arial" w:hAnsi="Arial" w:cs="Arial"/>
        </w:rPr>
        <w:t>Sch</w:t>
      </w:r>
      <w:proofErr w:type="spellEnd"/>
      <w:r w:rsidRPr="00A33025">
        <w:rPr>
          <w:rFonts w:ascii="Arial" w:hAnsi="Arial" w:cs="Arial"/>
        </w:rPr>
        <w:t xml:space="preserve"> 4 para. 3(1)(d) F&amp;HEA ‘92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Appointing an accounting/accountable officer.</w:t>
      </w:r>
      <w:r w:rsidRPr="00A33025">
        <w:rPr>
          <w:rFonts w:ascii="Arial" w:hAnsi="Arial" w:cs="Arial"/>
        </w:rPr>
        <w:br/>
        <w:t>Source / Rationale: Clause 2.3 Schedule 9 Conditions of Funding; Office for Students (“</w:t>
      </w:r>
      <w:proofErr w:type="spellStart"/>
      <w:r w:rsidRPr="00A33025">
        <w:rPr>
          <w:rFonts w:ascii="Arial" w:hAnsi="Arial" w:cs="Arial"/>
        </w:rPr>
        <w:t>OfS</w:t>
      </w:r>
      <w:proofErr w:type="spellEnd"/>
      <w:r w:rsidRPr="00A33025">
        <w:rPr>
          <w:rFonts w:ascii="Arial" w:hAnsi="Arial" w:cs="Arial"/>
        </w:rPr>
        <w:t>”) General ongoing conditions of registration Condition E3.3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Appointing the Audit Committee in accordance with the Post 16 Audit Code of Practice.</w:t>
      </w:r>
      <w:r w:rsidRPr="00A33025">
        <w:rPr>
          <w:rFonts w:ascii="Arial" w:hAnsi="Arial" w:cs="Arial"/>
        </w:rPr>
        <w:br/>
        <w:t>Source / Rationale: Clause 5.1 Schedule 9 Conditions of Funding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lastRenderedPageBreak/>
        <w:t xml:space="preserve">Function: </w:t>
      </w:r>
      <w:r w:rsidRPr="00A33025">
        <w:rPr>
          <w:rStyle w:val="Strong"/>
          <w:rFonts w:ascii="Arial" w:hAnsi="Arial" w:cs="Arial"/>
          <w:b w:val="0"/>
        </w:rPr>
        <w:t>Approving annually audited accounts and report, accounting policies and statement of internal control:</w:t>
      </w:r>
      <w:r w:rsidRPr="00A33025">
        <w:rPr>
          <w:rFonts w:ascii="Arial" w:hAnsi="Arial" w:cs="Arial"/>
        </w:rPr>
        <w:br/>
        <w:t>Source / Rationale: ACOP Part 2, 33; Para 3.1, Financial Regulations</w:t>
      </w:r>
    </w:p>
    <w:p w:rsidR="00755286" w:rsidRPr="00A33025" w:rsidRDefault="00755286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Pr="00A33025">
        <w:rPr>
          <w:rStyle w:val="Strong"/>
          <w:rFonts w:ascii="Arial" w:hAnsi="Arial" w:cs="Arial"/>
          <w:b w:val="0"/>
        </w:rPr>
        <w:t>Approving an evaluation of its corporate governance arrangements for each financial period within the statement of corporate governance and internal control</w:t>
      </w:r>
      <w:r w:rsidR="00A33025" w:rsidRPr="00A33025">
        <w:rPr>
          <w:rStyle w:val="Strong"/>
          <w:rFonts w:ascii="Arial" w:hAnsi="Arial" w:cs="Arial"/>
          <w:b w:val="0"/>
        </w:rPr>
        <w:t>.</w:t>
      </w:r>
      <w:r w:rsidRPr="00A33025">
        <w:rPr>
          <w:rFonts w:ascii="Arial" w:hAnsi="Arial" w:cs="Arial"/>
        </w:rPr>
        <w:br/>
      </w:r>
      <w:r w:rsidR="00A33025" w:rsidRPr="00A33025">
        <w:rPr>
          <w:rFonts w:ascii="Arial" w:hAnsi="Arial" w:cs="Arial"/>
        </w:rPr>
        <w:t xml:space="preserve">Source / Rationale: </w:t>
      </w:r>
      <w:r w:rsidRPr="00A33025">
        <w:rPr>
          <w:rFonts w:ascii="Arial" w:hAnsi="Arial" w:cs="Arial"/>
        </w:rPr>
        <w:t>Provision 6.8, Governance Code</w:t>
      </w:r>
    </w:p>
    <w:p w:rsidR="00755286" w:rsidRPr="00A33025" w:rsidRDefault="00A33025" w:rsidP="00755286">
      <w:pPr>
        <w:pStyle w:val="NormalWeb"/>
        <w:rPr>
          <w:rFonts w:ascii="Arial" w:hAnsi="Arial" w:cs="Arial"/>
        </w:rPr>
      </w:pPr>
      <w:r w:rsidRPr="00A33025">
        <w:rPr>
          <w:rStyle w:val="Strong"/>
          <w:rFonts w:ascii="Arial" w:hAnsi="Arial" w:cs="Arial"/>
          <w:b w:val="0"/>
        </w:rPr>
        <w:t xml:space="preserve">Function: </w:t>
      </w:r>
      <w:proofErr w:type="spellStart"/>
      <w:r w:rsidR="00755286" w:rsidRPr="00A33025">
        <w:rPr>
          <w:rStyle w:val="Strong"/>
          <w:rFonts w:ascii="Arial" w:hAnsi="Arial" w:cs="Arial"/>
          <w:b w:val="0"/>
        </w:rPr>
        <w:t>ppointing</w:t>
      </w:r>
      <w:proofErr w:type="spellEnd"/>
      <w:r w:rsidR="00755286" w:rsidRPr="00A33025">
        <w:rPr>
          <w:rStyle w:val="Strong"/>
          <w:rFonts w:ascii="Arial" w:hAnsi="Arial" w:cs="Arial"/>
          <w:b w:val="0"/>
        </w:rPr>
        <w:t xml:space="preserve"> an external auditor to audit the annual accounts and appointing the same person as reporting accountan</w:t>
      </w:r>
      <w:r w:rsidRPr="00A33025">
        <w:rPr>
          <w:rStyle w:val="Strong"/>
          <w:rFonts w:ascii="Arial" w:hAnsi="Arial" w:cs="Arial"/>
          <w:b w:val="0"/>
        </w:rPr>
        <w:t>t.</w:t>
      </w:r>
      <w:r w:rsidR="00755286" w:rsidRPr="00A33025">
        <w:rPr>
          <w:rFonts w:ascii="Arial" w:hAnsi="Arial" w:cs="Arial"/>
        </w:rPr>
        <w:br/>
      </w:r>
      <w:r w:rsidRPr="00A33025">
        <w:rPr>
          <w:rFonts w:ascii="Arial" w:hAnsi="Arial" w:cs="Arial"/>
        </w:rPr>
        <w:t xml:space="preserve">Source / Rationale: </w:t>
      </w:r>
      <w:r w:rsidR="00755286" w:rsidRPr="00A33025">
        <w:rPr>
          <w:rFonts w:ascii="Arial" w:hAnsi="Arial" w:cs="Arial"/>
        </w:rPr>
        <w:t>Post 16 Audit Code of Practice S3, 31, 59; para 3.1 Financial Regulations</w:t>
      </w:r>
    </w:p>
    <w:p w:rsidR="00755286" w:rsidRPr="00A33025" w:rsidRDefault="00A33025" w:rsidP="00755286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="00755286" w:rsidRPr="00A33025">
        <w:rPr>
          <w:rStyle w:val="Strong"/>
          <w:rFonts w:ascii="Arial" w:hAnsi="Arial" w:cs="Arial"/>
          <w:b w:val="0"/>
        </w:rPr>
        <w:t>Approving the Students’ Union Constitution, s22(3) Code of Practice, and annual budget</w:t>
      </w:r>
      <w:r w:rsidRPr="00A33025">
        <w:rPr>
          <w:rStyle w:val="Strong"/>
          <w:rFonts w:ascii="Arial" w:hAnsi="Arial" w:cs="Arial"/>
          <w:b w:val="0"/>
        </w:rPr>
        <w:t>.</w:t>
      </w:r>
      <w:r w:rsidR="00755286" w:rsidRPr="00A33025">
        <w:rPr>
          <w:rFonts w:ascii="Arial" w:hAnsi="Arial" w:cs="Arial"/>
        </w:rPr>
        <w:br/>
      </w:r>
      <w:r w:rsidRPr="00A33025">
        <w:rPr>
          <w:rFonts w:ascii="Arial" w:hAnsi="Arial" w:cs="Arial"/>
        </w:rPr>
        <w:t xml:space="preserve">Source / Rationale: </w:t>
      </w:r>
      <w:r w:rsidR="00755286" w:rsidRPr="00A33025">
        <w:rPr>
          <w:rFonts w:ascii="Arial" w:hAnsi="Arial" w:cs="Arial"/>
        </w:rPr>
        <w:t>S22 Education Act 1994</w:t>
      </w:r>
    </w:p>
    <w:p w:rsidR="00755286" w:rsidRPr="00A33025" w:rsidRDefault="00A33025" w:rsidP="00A33025">
      <w:pPr>
        <w:pStyle w:val="NormalWeb"/>
        <w:rPr>
          <w:rFonts w:ascii="Arial" w:hAnsi="Arial" w:cs="Arial"/>
        </w:rPr>
      </w:pPr>
      <w:r w:rsidRPr="00A33025">
        <w:rPr>
          <w:rFonts w:ascii="Arial" w:hAnsi="Arial" w:cs="Arial"/>
        </w:rPr>
        <w:t xml:space="preserve">Function: </w:t>
      </w:r>
      <w:r w:rsidR="00755286" w:rsidRPr="00A33025">
        <w:rPr>
          <w:rStyle w:val="Strong"/>
          <w:rFonts w:ascii="Arial" w:hAnsi="Arial" w:cs="Arial"/>
          <w:b w:val="0"/>
        </w:rPr>
        <w:t>Approval of this Scheme of Delegation</w:t>
      </w:r>
      <w:r w:rsidRPr="00A33025">
        <w:rPr>
          <w:rStyle w:val="Strong"/>
          <w:rFonts w:ascii="Arial" w:hAnsi="Arial" w:cs="Arial"/>
          <w:b w:val="0"/>
        </w:rPr>
        <w:t>.</w:t>
      </w:r>
      <w:r w:rsidR="00755286" w:rsidRPr="00A33025">
        <w:rPr>
          <w:rFonts w:ascii="Arial" w:hAnsi="Arial" w:cs="Arial"/>
        </w:rPr>
        <w:br/>
      </w:r>
      <w:r w:rsidRPr="00A33025">
        <w:rPr>
          <w:rFonts w:ascii="Arial" w:hAnsi="Arial" w:cs="Arial"/>
        </w:rPr>
        <w:t xml:space="preserve">Source / Rationale: </w:t>
      </w:r>
      <w:r w:rsidR="00755286" w:rsidRPr="00A33025">
        <w:rPr>
          <w:rFonts w:ascii="Arial" w:hAnsi="Arial" w:cs="Arial"/>
        </w:rPr>
        <w:t>Provision 6.5, Governance Code</w:t>
      </w:r>
    </w:p>
    <w:p w:rsidR="00AD6B3A" w:rsidRPr="00BD450B" w:rsidRDefault="00AD6B3A" w:rsidP="00EF7873">
      <w:pPr>
        <w:spacing w:after="240" w:line="240" w:lineRule="auto"/>
        <w:rPr>
          <w:rFonts w:cs="Arial"/>
          <w:sz w:val="2"/>
          <w:szCs w:val="24"/>
        </w:rPr>
      </w:pPr>
    </w:p>
    <w:p w:rsidR="00AD6B3A" w:rsidRDefault="00D86D2F" w:rsidP="00EF7873">
      <w:pPr>
        <w:pStyle w:val="ListParagraph"/>
        <w:numPr>
          <w:ilvl w:val="1"/>
          <w:numId w:val="1"/>
        </w:numPr>
        <w:ind w:left="709" w:hanging="709"/>
        <w:rPr>
          <w:rFonts w:cs="Arial"/>
          <w:szCs w:val="24"/>
        </w:rPr>
      </w:pPr>
      <w:r w:rsidRPr="00D86D2F">
        <w:rPr>
          <w:rFonts w:cs="Arial"/>
          <w:szCs w:val="24"/>
        </w:rPr>
        <w:t>The following are f</w:t>
      </w:r>
      <w:r w:rsidR="00FA2C5F" w:rsidRPr="00D86D2F">
        <w:rPr>
          <w:rFonts w:cs="Arial"/>
          <w:szCs w:val="24"/>
        </w:rPr>
        <w:t>unctions which</w:t>
      </w:r>
      <w:r w:rsidR="00B03711">
        <w:rPr>
          <w:rFonts w:cs="Arial"/>
          <w:szCs w:val="24"/>
        </w:rPr>
        <w:t xml:space="preserve"> could potentially be delegated but which</w:t>
      </w:r>
      <w:r w:rsidR="00FA2C5F" w:rsidRPr="00D86D2F">
        <w:rPr>
          <w:rFonts w:cs="Arial"/>
          <w:szCs w:val="24"/>
        </w:rPr>
        <w:t xml:space="preserve"> the Corporation </w:t>
      </w:r>
      <w:r w:rsidR="00B03711">
        <w:rPr>
          <w:rFonts w:cs="Arial"/>
          <w:szCs w:val="24"/>
        </w:rPr>
        <w:t xml:space="preserve">has </w:t>
      </w:r>
      <w:r w:rsidR="00FA2C5F" w:rsidRPr="00D86D2F">
        <w:rPr>
          <w:rFonts w:cs="Arial"/>
          <w:szCs w:val="24"/>
        </w:rPr>
        <w:t>expressly reserve</w:t>
      </w:r>
      <w:r w:rsidR="00B03711">
        <w:rPr>
          <w:rFonts w:cs="Arial"/>
          <w:szCs w:val="24"/>
        </w:rPr>
        <w:t>d</w:t>
      </w:r>
      <w:r w:rsidR="00FA2C5F" w:rsidRPr="00D86D2F">
        <w:rPr>
          <w:rFonts w:cs="Arial"/>
          <w:szCs w:val="24"/>
        </w:rPr>
        <w:t xml:space="preserve"> to itself</w:t>
      </w:r>
      <w:r w:rsidR="009B02FE" w:rsidRPr="00D86D2F">
        <w:rPr>
          <w:rFonts w:cs="Arial"/>
          <w:szCs w:val="24"/>
        </w:rPr>
        <w:t>: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Appointing the Corporation Chair and Vice Chair.</w:t>
      </w:r>
      <w:r w:rsidRPr="00A33025">
        <w:rPr>
          <w:rFonts w:eastAsia="Times New Roman" w:cs="Arial"/>
          <w:szCs w:val="24"/>
          <w:lang w:eastAsia="en-GB"/>
        </w:rPr>
        <w:br/>
        <w:t>Source / Rationale: Clause 5.1, Instrument of Government (“Instrument”)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Approving the annual estimates of income and expenditure.</w:t>
      </w:r>
      <w:r w:rsidRPr="00A33025">
        <w:rPr>
          <w:rFonts w:eastAsia="Times New Roman" w:cs="Arial"/>
          <w:szCs w:val="24"/>
          <w:lang w:eastAsia="en-GB"/>
        </w:rPr>
        <w:br/>
        <w:t>Source / Rationale: Article 3.1(d) Articles;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The designation of any post a “Senior Post” or the removal of such designation.</w:t>
      </w:r>
      <w:r w:rsidRPr="00A33025">
        <w:rPr>
          <w:rFonts w:eastAsia="Times New Roman" w:cs="Arial"/>
          <w:szCs w:val="24"/>
          <w:lang w:eastAsia="en-GB"/>
        </w:rPr>
        <w:br/>
        <w:t>Source / Rationale: Clause 1, Instrument of Government (“Instrument”)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Appointing, grading, suspending, dismissing and determining the pay and conditions of service of the Clerk, the Principal/CEO, and the other Senior Post Holders.</w:t>
      </w:r>
      <w:r w:rsidRPr="00A33025">
        <w:rPr>
          <w:rFonts w:eastAsia="Times New Roman" w:cs="Arial"/>
          <w:szCs w:val="24"/>
          <w:lang w:eastAsia="en-GB"/>
        </w:rPr>
        <w:br/>
        <w:t>Source / Rationale: Article 3.1(e), Articles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Appointing the Clerk in the capacity of a member of staff.</w:t>
      </w:r>
      <w:r w:rsidRPr="00A33025">
        <w:rPr>
          <w:rFonts w:eastAsia="Times New Roman" w:cs="Arial"/>
          <w:szCs w:val="24"/>
          <w:lang w:eastAsia="en-GB"/>
        </w:rPr>
        <w:br/>
        <w:t>Source / Rationale: Article 3.1(e), Articles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 xml:space="preserve">Delegating the reporting of a reportable event to the </w:t>
      </w:r>
      <w:proofErr w:type="spellStart"/>
      <w:r w:rsidRPr="00A33025">
        <w:rPr>
          <w:rFonts w:eastAsia="Times New Roman" w:cs="Arial"/>
          <w:bCs/>
          <w:szCs w:val="24"/>
          <w:lang w:eastAsia="en-GB"/>
        </w:rPr>
        <w:t>OfS</w:t>
      </w:r>
      <w:proofErr w:type="spellEnd"/>
      <w:r w:rsidRPr="00A33025">
        <w:rPr>
          <w:rFonts w:eastAsia="Times New Roman" w:cs="Arial"/>
          <w:bCs/>
          <w:szCs w:val="24"/>
          <w:lang w:eastAsia="en-GB"/>
        </w:rPr>
        <w:t xml:space="preserve"> where it is not appropriate for the accountable officer to make or delegate reporting (or electing to report directly).</w:t>
      </w:r>
      <w:r w:rsidRPr="00A33025">
        <w:rPr>
          <w:rFonts w:eastAsia="Times New Roman" w:cs="Arial"/>
          <w:szCs w:val="24"/>
          <w:lang w:eastAsia="en-GB"/>
        </w:rPr>
        <w:br/>
        <w:t xml:space="preserve">Source / Rationale: </w:t>
      </w:r>
      <w:proofErr w:type="spellStart"/>
      <w:r w:rsidRPr="00A33025">
        <w:rPr>
          <w:rFonts w:eastAsia="Times New Roman" w:cs="Arial"/>
          <w:szCs w:val="24"/>
          <w:lang w:eastAsia="en-GB"/>
        </w:rPr>
        <w:t>OfS</w:t>
      </w:r>
      <w:proofErr w:type="spellEnd"/>
      <w:r w:rsidRPr="00A33025">
        <w:rPr>
          <w:rFonts w:eastAsia="Times New Roman" w:cs="Arial"/>
          <w:szCs w:val="24"/>
          <w:lang w:eastAsia="en-GB"/>
        </w:rPr>
        <w:t xml:space="preserve"> General ongoing conditions of registration, Part IV, para 24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Approving a framework for the pay and conditions of service of all other staff.</w:t>
      </w:r>
      <w:r w:rsidRPr="00A33025">
        <w:rPr>
          <w:rFonts w:eastAsia="Times New Roman" w:cs="Arial"/>
          <w:szCs w:val="24"/>
          <w:lang w:eastAsia="en-GB"/>
        </w:rPr>
        <w:br/>
        <w:t>Source / Rationale: Article 3.1(f), Articles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lastRenderedPageBreak/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certain policies and procedures: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Collective Disputes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Disciplinary Procedure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Fees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Freedom of Speech &amp; External Speakers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GDPR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Grievance Procedure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Health &amp; Safety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Major Incident and Business Continuity Plan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Risk Management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Safeguarding &amp; Child Protection Policy (including procedures for dealing with allegations of abuse against staff)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Staff Code of Conduct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Subcontracting Supply Chain Policy</w:t>
      </w:r>
    </w:p>
    <w:p w:rsidR="00A33025" w:rsidRPr="00A33025" w:rsidRDefault="00A33025" w:rsidP="00A330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Whistleblowing/Public Disclosures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>Source / Rationale: Education (No 2) Act 1986, Statutory Policies for Schools and Academy Trusts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environmental sustainability and carbon reduction strategy(</w:t>
      </w:r>
      <w:proofErr w:type="spellStart"/>
      <w:r w:rsidRPr="00A33025">
        <w:rPr>
          <w:rFonts w:eastAsia="Times New Roman" w:cs="Arial"/>
          <w:bCs/>
          <w:szCs w:val="24"/>
          <w:lang w:eastAsia="en-GB"/>
        </w:rPr>
        <w:t>ies</w:t>
      </w:r>
      <w:proofErr w:type="spellEnd"/>
      <w:r w:rsidRPr="00A33025">
        <w:rPr>
          <w:rFonts w:eastAsia="Times New Roman" w:cs="Arial"/>
          <w:bCs/>
          <w:szCs w:val="24"/>
          <w:lang w:eastAsia="en-GB"/>
        </w:rPr>
        <w:t>).</w:t>
      </w:r>
      <w:r w:rsidRPr="00A33025">
        <w:rPr>
          <w:rFonts w:eastAsia="Times New Roman" w:cs="Arial"/>
          <w:szCs w:val="24"/>
          <w:lang w:eastAsia="en-GB"/>
        </w:rPr>
        <w:br/>
        <w:t>Source / Rationale: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Modern Slavery Statement.</w:t>
      </w:r>
      <w:r w:rsidRPr="00A33025">
        <w:rPr>
          <w:rFonts w:eastAsia="Times New Roman" w:cs="Arial"/>
          <w:szCs w:val="24"/>
          <w:lang w:eastAsia="en-GB"/>
        </w:rPr>
        <w:br/>
        <w:t>Source / Rationale: S54(1) Modern Slavery Act 2015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 xml:space="preserve">Application to the </w:t>
      </w:r>
      <w:proofErr w:type="spellStart"/>
      <w:r w:rsidRPr="00A33025">
        <w:rPr>
          <w:rFonts w:eastAsia="Times New Roman" w:cs="Arial"/>
          <w:bCs/>
          <w:szCs w:val="24"/>
          <w:lang w:eastAsia="en-GB"/>
        </w:rPr>
        <w:t>OfS</w:t>
      </w:r>
      <w:proofErr w:type="spellEnd"/>
      <w:r w:rsidRPr="00A33025">
        <w:rPr>
          <w:rFonts w:eastAsia="Times New Roman" w:cs="Arial"/>
          <w:bCs/>
          <w:szCs w:val="24"/>
          <w:lang w:eastAsia="en-GB"/>
        </w:rPr>
        <w:t xml:space="preserve"> for a variation of the Access and Participation Plan.</w:t>
      </w:r>
      <w:r w:rsidRPr="00A33025">
        <w:rPr>
          <w:rFonts w:eastAsia="Times New Roman" w:cs="Arial"/>
          <w:szCs w:val="24"/>
          <w:lang w:eastAsia="en-GB"/>
        </w:rPr>
        <w:br/>
        <w:t>Source / Rationale: Regulation 4(1) The Higher Education (Access and Participation Plans) (England) Regulations 2018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Approving the Equality and Diversity Strategy.</w:t>
      </w:r>
      <w:r w:rsidRPr="00A33025">
        <w:rPr>
          <w:rFonts w:eastAsia="Times New Roman" w:cs="Arial"/>
          <w:szCs w:val="24"/>
          <w:lang w:eastAsia="en-GB"/>
        </w:rPr>
        <w:br/>
        <w:t>Source / Rationale: Provision 8.2,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Approving the Single Equality, Diversity, Inclusiveness and Belonging Scheme and Action Plan, including EDI performance measures.</w:t>
      </w:r>
      <w:r w:rsidRPr="00A33025">
        <w:rPr>
          <w:rFonts w:eastAsia="Times New Roman" w:cs="Arial"/>
          <w:szCs w:val="24"/>
          <w:lang w:eastAsia="en-GB"/>
        </w:rPr>
        <w:br/>
        <w:t>Source / Rationale: Provision 8.2, Governance Code, The Equality Act 2010 (Specific Duties) Regulations 2011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Determining the Key Performance Indicators for measuring performance against the strategic objectives.</w:t>
      </w:r>
      <w:r w:rsidRPr="00A33025">
        <w:rPr>
          <w:rFonts w:eastAsia="Times New Roman" w:cs="Arial"/>
          <w:szCs w:val="24"/>
          <w:lang w:eastAsia="en-GB"/>
        </w:rPr>
        <w:br/>
        <w:t>Source / Rationale: Provision 1.6,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Appointing the internal audit service and approving their fees.</w:t>
      </w:r>
      <w:r w:rsidRPr="00A33025">
        <w:rPr>
          <w:rFonts w:eastAsia="Times New Roman" w:cs="Arial"/>
          <w:szCs w:val="24"/>
          <w:lang w:eastAsia="en-GB"/>
        </w:rPr>
        <w:br/>
        <w:t>Source / Rationale: Para 3.1, Financial Regulations</w:t>
      </w:r>
    </w:p>
    <w:p w:rsidR="00A33025" w:rsidRPr="00A33025" w:rsidRDefault="00A33025" w:rsidP="00A33025">
      <w:pPr>
        <w:tabs>
          <w:tab w:val="left" w:pos="7400"/>
        </w:tabs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annual audit plan, linked to the risk register.</w:t>
      </w:r>
      <w:r w:rsidRPr="00A33025">
        <w:rPr>
          <w:rFonts w:eastAsia="Times New Roman" w:cs="Arial"/>
          <w:szCs w:val="24"/>
          <w:lang w:eastAsia="en-GB"/>
        </w:rPr>
        <w:br/>
        <w:t>Source / Rationale: Provision 6.9,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Financial Regulations and detailed financial procedures.</w:t>
      </w:r>
      <w:r w:rsidRPr="00A33025">
        <w:rPr>
          <w:rFonts w:eastAsia="Times New Roman" w:cs="Arial"/>
          <w:szCs w:val="24"/>
          <w:lang w:eastAsia="en-GB"/>
        </w:rPr>
        <w:br/>
        <w:t xml:space="preserve">Source / Rationale: Pursuant to </w:t>
      </w:r>
      <w:proofErr w:type="spellStart"/>
      <w:r w:rsidRPr="00A33025">
        <w:rPr>
          <w:rFonts w:eastAsia="Times New Roman" w:cs="Arial"/>
          <w:szCs w:val="24"/>
          <w:lang w:eastAsia="en-GB"/>
        </w:rPr>
        <w:t>Sch</w:t>
      </w:r>
      <w:proofErr w:type="spellEnd"/>
      <w:r w:rsidRPr="00A33025">
        <w:rPr>
          <w:rFonts w:eastAsia="Times New Roman" w:cs="Arial"/>
          <w:szCs w:val="24"/>
          <w:lang w:eastAsia="en-GB"/>
        </w:rPr>
        <w:t xml:space="preserve"> 4 para 5(3)(c) F&amp;HEA 92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lastRenderedPageBreak/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Material amendments to any memorandum of understanding with any subsidiary or other related party, or equivalent shareholders’ agreement, and other issues of policy and principle concerning related parties.</w:t>
      </w:r>
      <w:r w:rsidRPr="00A33025">
        <w:rPr>
          <w:rFonts w:eastAsia="Times New Roman" w:cs="Arial"/>
          <w:szCs w:val="24"/>
          <w:lang w:eastAsia="en-GB"/>
        </w:rPr>
        <w:br/>
        <w:t>Source / Rationale: Provision 7.6, Governance Code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the establishment of any company, the shareholding arrangements, and appointment of directors.</w:t>
      </w:r>
      <w:r w:rsidRPr="00A33025">
        <w:rPr>
          <w:rFonts w:eastAsia="Times New Roman" w:cs="Arial"/>
          <w:szCs w:val="24"/>
          <w:lang w:eastAsia="en-GB"/>
        </w:rPr>
        <w:br/>
        <w:t>Source / Rationale: Para 24.2, Financial Regulations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contracts for significant changes in franchising activity and scrutiny of franchising arrangements.</w:t>
      </w:r>
      <w:r w:rsidRPr="00A33025">
        <w:rPr>
          <w:rFonts w:eastAsia="Times New Roman" w:cs="Arial"/>
          <w:szCs w:val="24"/>
          <w:lang w:eastAsia="en-GB"/>
        </w:rPr>
        <w:br/>
        <w:t>Source / Rationale: Para 18.2, Financial Regulations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proposed significant departures from the strategic plan.</w:t>
      </w:r>
      <w:r w:rsidRPr="00A33025">
        <w:rPr>
          <w:rFonts w:eastAsia="Times New Roman" w:cs="Arial"/>
          <w:szCs w:val="24"/>
          <w:lang w:eastAsia="en-GB"/>
        </w:rPr>
        <w:br/>
        <w:t>Source / Rationale: Para 18.2, Financial Regulations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any EU funding applications in excess of £100k.</w:t>
      </w:r>
      <w:r w:rsidRPr="00A33025">
        <w:rPr>
          <w:rFonts w:eastAsia="Times New Roman" w:cs="Arial"/>
          <w:szCs w:val="24"/>
          <w:lang w:eastAsia="en-GB"/>
        </w:rPr>
        <w:br/>
        <w:t>Source / Rationale: Para 18.3, Financial Regulations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staff severance schemes.</w:t>
      </w:r>
      <w:r w:rsidRPr="00A33025">
        <w:rPr>
          <w:rFonts w:eastAsia="Times New Roman" w:cs="Arial"/>
          <w:szCs w:val="24"/>
          <w:lang w:eastAsia="en-GB"/>
        </w:rPr>
        <w:br/>
        <w:t>Source / Rationale: Para 21.8, Financial Regulations</w:t>
      </w:r>
    </w:p>
    <w:p w:rsidR="00A33025" w:rsidRPr="00A33025" w:rsidRDefault="00A33025" w:rsidP="00A3302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the purchase, buildings or fixed plant, regardless of value.</w:t>
      </w:r>
      <w:r w:rsidRPr="00A33025">
        <w:rPr>
          <w:rFonts w:eastAsia="Times New Roman" w:cs="Arial"/>
          <w:szCs w:val="24"/>
          <w:lang w:eastAsia="en-GB"/>
        </w:rPr>
        <w:br/>
        <w:t>Source / Rationale: Para 22.1, Financial Regulations</w:t>
      </w:r>
    </w:p>
    <w:p w:rsidR="00A33025" w:rsidRPr="00490F4B" w:rsidRDefault="00A33025" w:rsidP="00490F4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A33025">
        <w:rPr>
          <w:rFonts w:eastAsia="Times New Roman" w:cs="Arial"/>
          <w:szCs w:val="24"/>
          <w:lang w:eastAsia="en-GB"/>
        </w:rPr>
        <w:t xml:space="preserve">Function: </w:t>
      </w:r>
      <w:r w:rsidRPr="00A33025">
        <w:rPr>
          <w:rFonts w:eastAsia="Times New Roman" w:cs="Arial"/>
          <w:bCs/>
          <w:szCs w:val="24"/>
          <w:lang w:eastAsia="en-GB"/>
        </w:rPr>
        <w:t>Approval of disposal of land and buildings regardless of value.</w:t>
      </w:r>
      <w:r w:rsidRPr="00A33025">
        <w:rPr>
          <w:rFonts w:eastAsia="Times New Roman" w:cs="Arial"/>
          <w:szCs w:val="24"/>
          <w:lang w:eastAsia="en-GB"/>
        </w:rPr>
        <w:br/>
        <w:t>Source / Rationale: Para 22.7, Financial Regulations</w:t>
      </w:r>
    </w:p>
    <w:p w:rsidR="00132E0C" w:rsidRPr="00005B2F" w:rsidRDefault="00005B2F" w:rsidP="00005B2F">
      <w:pPr>
        <w:pStyle w:val="ListParagraph"/>
        <w:numPr>
          <w:ilvl w:val="1"/>
          <w:numId w:val="1"/>
        </w:numPr>
        <w:spacing w:before="240" w:line="240" w:lineRule="auto"/>
        <w:ind w:left="709" w:hanging="709"/>
        <w:contextualSpacing w:val="0"/>
        <w:jc w:val="both"/>
        <w:rPr>
          <w:rFonts w:cs="Arial"/>
          <w:szCs w:val="24"/>
        </w:rPr>
      </w:pPr>
      <w:r w:rsidRPr="00005B2F">
        <w:rPr>
          <w:rFonts w:cs="Arial"/>
          <w:szCs w:val="24"/>
        </w:rPr>
        <w:t>The following are f</w:t>
      </w:r>
      <w:r w:rsidR="00132E0C" w:rsidRPr="00005B2F">
        <w:rPr>
          <w:rFonts w:cs="Arial"/>
          <w:szCs w:val="24"/>
        </w:rPr>
        <w:t>unctions which the Corporation</w:t>
      </w:r>
      <w:r w:rsidRPr="00005B2F">
        <w:rPr>
          <w:rFonts w:cs="Arial"/>
          <w:szCs w:val="24"/>
        </w:rPr>
        <w:t xml:space="preserve"> has delegated</w:t>
      </w:r>
      <w:r w:rsidR="00132E0C" w:rsidRPr="00005B2F">
        <w:rPr>
          <w:rFonts w:cs="Arial"/>
          <w:szCs w:val="24"/>
        </w:rPr>
        <w:t xml:space="preserve"> to its </w:t>
      </w:r>
      <w:r w:rsidR="00836321">
        <w:rPr>
          <w:rFonts w:cs="Arial"/>
          <w:szCs w:val="24"/>
        </w:rPr>
        <w:t xml:space="preserve">subsidiary Committees or to its </w:t>
      </w:r>
      <w:r w:rsidR="00C33E16" w:rsidRPr="00005B2F">
        <w:rPr>
          <w:rFonts w:cs="Arial"/>
          <w:szCs w:val="24"/>
        </w:rPr>
        <w:t>Chair</w:t>
      </w:r>
      <w:r w:rsidR="00493814">
        <w:rPr>
          <w:rFonts w:cs="Arial"/>
          <w:szCs w:val="24"/>
        </w:rPr>
        <w:t xml:space="preserve">, </w:t>
      </w:r>
      <w:r w:rsidR="00410D13">
        <w:rPr>
          <w:rFonts w:cs="Arial"/>
          <w:szCs w:val="24"/>
        </w:rPr>
        <w:t xml:space="preserve">Vice Chair, </w:t>
      </w:r>
      <w:r w:rsidR="00304C98">
        <w:rPr>
          <w:rFonts w:cs="Arial"/>
          <w:szCs w:val="24"/>
        </w:rPr>
        <w:t xml:space="preserve">the Clerk, </w:t>
      </w:r>
      <w:r w:rsidR="00836321">
        <w:rPr>
          <w:rFonts w:cs="Arial"/>
          <w:szCs w:val="24"/>
        </w:rPr>
        <w:t xml:space="preserve">or </w:t>
      </w:r>
      <w:r w:rsidR="009C115C">
        <w:rPr>
          <w:rFonts w:cs="Arial"/>
          <w:szCs w:val="24"/>
        </w:rPr>
        <w:t xml:space="preserve">any </w:t>
      </w:r>
      <w:r w:rsidR="00493814">
        <w:rPr>
          <w:rFonts w:cs="Arial"/>
          <w:szCs w:val="24"/>
        </w:rPr>
        <w:t>Committee Chair</w:t>
      </w:r>
      <w:r w:rsidR="009C115C">
        <w:rPr>
          <w:rFonts w:cs="Arial"/>
          <w:szCs w:val="24"/>
        </w:rPr>
        <w:t>(</w:t>
      </w:r>
      <w:r w:rsidR="00493814">
        <w:rPr>
          <w:rFonts w:cs="Arial"/>
          <w:szCs w:val="24"/>
        </w:rPr>
        <w:t>s</w:t>
      </w:r>
      <w:r w:rsidR="009C115C">
        <w:rPr>
          <w:rFonts w:cs="Arial"/>
          <w:szCs w:val="24"/>
        </w:rPr>
        <w:t>)</w:t>
      </w:r>
      <w:r w:rsidR="00C33E16" w:rsidRPr="00005B2F">
        <w:rPr>
          <w:rFonts w:cs="Arial"/>
          <w:szCs w:val="24"/>
        </w:rPr>
        <w:t xml:space="preserve"> </w:t>
      </w:r>
      <w:r w:rsidR="009C115C">
        <w:rPr>
          <w:rFonts w:cs="Arial"/>
          <w:szCs w:val="24"/>
        </w:rPr>
        <w:t>which cannot be further delegated</w:t>
      </w:r>
      <w:r>
        <w:rPr>
          <w:rFonts w:cs="Arial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3"/>
        <w:gridCol w:w="2306"/>
        <w:gridCol w:w="2512"/>
      </w:tblGrid>
      <w:tr w:rsidR="009C115C" w:rsidTr="00311FCB">
        <w:tc>
          <w:tcPr>
            <w:tcW w:w="4533" w:type="dxa"/>
            <w:shd w:val="clear" w:color="auto" w:fill="F2F2F2" w:themeFill="background1" w:themeFillShade="F2"/>
          </w:tcPr>
          <w:p w:rsidR="009C115C" w:rsidRPr="009C115C" w:rsidRDefault="009C115C" w:rsidP="007A5420">
            <w:pPr>
              <w:spacing w:after="240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Function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9C115C" w:rsidRPr="009C115C" w:rsidRDefault="0059128C" w:rsidP="00C33E16">
            <w:pPr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Delegat</w:t>
            </w:r>
            <w:r w:rsidR="009C115C" w:rsidRPr="009C115C">
              <w:rPr>
                <w:rFonts w:cs="Arial"/>
                <w:b/>
                <w:szCs w:val="24"/>
              </w:rPr>
              <w:t>ed to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9C115C" w:rsidRPr="007A5420" w:rsidRDefault="009C115C" w:rsidP="007A5420">
            <w:pPr>
              <w:spacing w:after="80"/>
              <w:ind w:left="-147" w:right="-16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Source/Rationale</w:t>
            </w:r>
            <w:r w:rsidR="007A5420">
              <w:rPr>
                <w:rFonts w:cs="Arial"/>
                <w:b/>
                <w:szCs w:val="24"/>
              </w:rPr>
              <w:t xml:space="preserve">               </w:t>
            </w:r>
            <w:r w:rsidR="007A5420">
              <w:rPr>
                <w:rFonts w:cs="Arial"/>
                <w:szCs w:val="24"/>
              </w:rPr>
              <w:t>(if</w:t>
            </w:r>
            <w:r w:rsidR="007A5420" w:rsidRPr="007A5420">
              <w:rPr>
                <w:rFonts w:cs="Arial"/>
                <w:sz w:val="18"/>
                <w:szCs w:val="24"/>
              </w:rPr>
              <w:t xml:space="preserve"> </w:t>
            </w:r>
            <w:r w:rsidR="007A5420">
              <w:rPr>
                <w:rFonts w:cs="Arial"/>
                <w:szCs w:val="24"/>
              </w:rPr>
              <w:t>not</w:t>
            </w:r>
            <w:r w:rsidR="007A5420" w:rsidRPr="007A5420">
              <w:rPr>
                <w:rFonts w:cs="Arial"/>
                <w:sz w:val="18"/>
                <w:szCs w:val="24"/>
              </w:rPr>
              <w:t xml:space="preserve"> </w:t>
            </w:r>
            <w:r w:rsidR="007A5420">
              <w:rPr>
                <w:rFonts w:cs="Arial"/>
                <w:szCs w:val="24"/>
              </w:rPr>
              <w:t>this Scheme)</w:t>
            </w:r>
          </w:p>
        </w:tc>
      </w:tr>
      <w:tr w:rsidR="006D3C70" w:rsidTr="00311FCB">
        <w:tc>
          <w:tcPr>
            <w:tcW w:w="4533" w:type="dxa"/>
          </w:tcPr>
          <w:p w:rsidR="006D3C70" w:rsidRDefault="00D2560A" w:rsidP="00AB538A">
            <w:pPr>
              <w:spacing w:after="6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Appointing </w:t>
            </w:r>
            <w:r w:rsidR="006D3C70">
              <w:rPr>
                <w:rFonts w:eastAsia="Times New Roman" w:cs="Arial"/>
                <w:szCs w:val="24"/>
                <w:lang w:eastAsia="en-GB"/>
              </w:rPr>
              <w:t>Committee Members, including Co-opted Members</w:t>
            </w:r>
            <w:r w:rsidR="002C625B">
              <w:rPr>
                <w:rFonts w:eastAsia="Times New Roman" w:cs="Arial"/>
                <w:szCs w:val="24"/>
                <w:lang w:eastAsia="en-GB"/>
              </w:rPr>
              <w:t>,</w:t>
            </w:r>
            <w:r w:rsidR="006D3C70">
              <w:rPr>
                <w:rFonts w:eastAsia="Times New Roman" w:cs="Arial"/>
                <w:szCs w:val="24"/>
                <w:lang w:eastAsia="en-GB"/>
              </w:rPr>
              <w:t xml:space="preserve"> until the next Corporation meeting</w:t>
            </w:r>
          </w:p>
        </w:tc>
        <w:tc>
          <w:tcPr>
            <w:tcW w:w="2306" w:type="dxa"/>
          </w:tcPr>
          <w:p w:rsidR="006D3C70" w:rsidRPr="00C33E16" w:rsidRDefault="006D3C70" w:rsidP="00AB538A">
            <w:pPr>
              <w:spacing w:after="60"/>
              <w:rPr>
                <w:rFonts w:cs="Arial"/>
                <w:szCs w:val="24"/>
              </w:rPr>
            </w:pPr>
            <w:r w:rsidRPr="00C33E16">
              <w:rPr>
                <w:rFonts w:cs="Arial"/>
                <w:szCs w:val="24"/>
              </w:rPr>
              <w:t xml:space="preserve">Chair or Vice Chair and </w:t>
            </w:r>
            <w:r>
              <w:rPr>
                <w:rFonts w:cs="Arial"/>
                <w:szCs w:val="24"/>
              </w:rPr>
              <w:t xml:space="preserve">relevant </w:t>
            </w:r>
            <w:r w:rsidRPr="00C33E16">
              <w:rPr>
                <w:rFonts w:cs="Arial"/>
                <w:szCs w:val="24"/>
              </w:rPr>
              <w:t>Committee Chair</w:t>
            </w:r>
          </w:p>
        </w:tc>
        <w:tc>
          <w:tcPr>
            <w:tcW w:w="2512" w:type="dxa"/>
          </w:tcPr>
          <w:p w:rsidR="006D3C70" w:rsidRPr="00132E0C" w:rsidRDefault="006D3C70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Clause 14.7 Instrument</w:t>
            </w:r>
          </w:p>
          <w:p w:rsidR="006D3C70" w:rsidRDefault="006D3C70" w:rsidP="00AB538A">
            <w:pPr>
              <w:spacing w:after="60"/>
              <w:rPr>
                <w:rFonts w:cs="Arial"/>
                <w:szCs w:val="24"/>
              </w:rPr>
            </w:pPr>
          </w:p>
        </w:tc>
      </w:tr>
      <w:tr w:rsidR="00C33E16" w:rsidTr="00311FCB">
        <w:tc>
          <w:tcPr>
            <w:tcW w:w="4533" w:type="dxa"/>
          </w:tcPr>
          <w:p w:rsidR="00C33E16" w:rsidRDefault="00C33E16" w:rsidP="002819C9">
            <w:pPr>
              <w:spacing w:after="6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Appointing Committee Chairs</w:t>
            </w:r>
          </w:p>
        </w:tc>
        <w:tc>
          <w:tcPr>
            <w:tcW w:w="2306" w:type="dxa"/>
          </w:tcPr>
          <w:p w:rsidR="00C33E16" w:rsidRPr="00C33E16" w:rsidRDefault="00C33E16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Relevant Committee</w:t>
            </w:r>
            <w:r w:rsidR="0059128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C33E16" w:rsidRDefault="00C33E16" w:rsidP="00AB538A">
            <w:pPr>
              <w:spacing w:after="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 </w:t>
            </w:r>
            <w:r w:rsidR="006D3C70">
              <w:rPr>
                <w:rFonts w:cs="Arial"/>
                <w:szCs w:val="24"/>
              </w:rPr>
              <w:t>16.1</w:t>
            </w:r>
          </w:p>
        </w:tc>
      </w:tr>
      <w:tr w:rsidR="00335372" w:rsidTr="00311FCB">
        <w:tc>
          <w:tcPr>
            <w:tcW w:w="4533" w:type="dxa"/>
          </w:tcPr>
          <w:p w:rsidR="00335372" w:rsidRDefault="00335372" w:rsidP="00AB538A">
            <w:pPr>
              <w:spacing w:after="60"/>
              <w:ind w:right="-106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Advising the Corporation on the appointment and reappointment of Independent Governors and such other matters relating to membership of the Corpora</w:t>
            </w:r>
            <w:r w:rsidR="002C625B">
              <w:rPr>
                <w:rFonts w:eastAsia="Times New Roman" w:cs="Arial"/>
                <w:szCs w:val="24"/>
                <w:lang w:eastAsia="en-GB"/>
              </w:rPr>
              <w:t>tion as the Corporation may ask</w:t>
            </w:r>
          </w:p>
        </w:tc>
        <w:tc>
          <w:tcPr>
            <w:tcW w:w="2306" w:type="dxa"/>
          </w:tcPr>
          <w:p w:rsidR="00335372" w:rsidRPr="00132E0C" w:rsidRDefault="00F4512B" w:rsidP="00AB538A">
            <w:pPr>
              <w:spacing w:after="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People, Governance and </w:t>
            </w:r>
            <w:proofErr w:type="gramStart"/>
            <w:r>
              <w:rPr>
                <w:rFonts w:cs="Arial"/>
                <w:szCs w:val="24"/>
              </w:rPr>
              <w:t xml:space="preserve">Culture </w:t>
            </w:r>
            <w:r w:rsidR="00335372">
              <w:rPr>
                <w:rFonts w:cs="Arial"/>
                <w:szCs w:val="24"/>
              </w:rPr>
              <w:t xml:space="preserve"> Committee</w:t>
            </w:r>
            <w:proofErr w:type="gramEnd"/>
          </w:p>
        </w:tc>
        <w:tc>
          <w:tcPr>
            <w:tcW w:w="2512" w:type="dxa"/>
          </w:tcPr>
          <w:p w:rsidR="00335372" w:rsidRDefault="00F4512B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Article 5.1;</w:t>
            </w:r>
            <w:r w:rsidR="0033537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Committee</w:t>
            </w:r>
            <w:r w:rsidR="00335372">
              <w:rPr>
                <w:rFonts w:cs="Arial"/>
                <w:szCs w:val="24"/>
              </w:rPr>
              <w:t xml:space="preserve"> Terms of Reference</w:t>
            </w:r>
          </w:p>
        </w:tc>
      </w:tr>
      <w:tr w:rsidR="00132E0C" w:rsidTr="00311FCB">
        <w:tc>
          <w:tcPr>
            <w:tcW w:w="4533" w:type="dxa"/>
          </w:tcPr>
          <w:p w:rsidR="00132E0C" w:rsidRPr="00C33E16" w:rsidRDefault="00132E0C" w:rsidP="00AB538A">
            <w:pPr>
              <w:spacing w:after="60"/>
              <w:jc w:val="both"/>
              <w:rPr>
                <w:rFonts w:cs="Arial"/>
                <w:szCs w:val="24"/>
              </w:rPr>
            </w:pPr>
            <w:r w:rsidRPr="00C33E16">
              <w:rPr>
                <w:rFonts w:cs="Arial"/>
                <w:szCs w:val="24"/>
              </w:rPr>
              <w:t xml:space="preserve">Dismissal of </w:t>
            </w:r>
            <w:r w:rsidR="00C33E16" w:rsidRPr="00C33E16">
              <w:rPr>
                <w:rFonts w:cs="Arial"/>
                <w:szCs w:val="24"/>
              </w:rPr>
              <w:t xml:space="preserve">a </w:t>
            </w:r>
            <w:r w:rsidR="005B4D84" w:rsidRPr="00C33E16">
              <w:rPr>
                <w:rFonts w:cs="Arial"/>
                <w:szCs w:val="24"/>
              </w:rPr>
              <w:t>Senior Post</w:t>
            </w:r>
            <w:r w:rsidR="006D3C70">
              <w:rPr>
                <w:rFonts w:cs="Arial"/>
                <w:szCs w:val="24"/>
              </w:rPr>
              <w:t xml:space="preserve"> </w:t>
            </w:r>
            <w:r w:rsidR="00C33E16" w:rsidRPr="00C33E16">
              <w:rPr>
                <w:rFonts w:cs="Arial"/>
                <w:szCs w:val="24"/>
              </w:rPr>
              <w:t>holder or the Clerk or determining an appeal against such dismissal</w:t>
            </w:r>
          </w:p>
        </w:tc>
        <w:tc>
          <w:tcPr>
            <w:tcW w:w="2306" w:type="dxa"/>
          </w:tcPr>
          <w:p w:rsidR="00132E0C" w:rsidRPr="00C33E16" w:rsidRDefault="00F4512B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People, Governance and Culture Committee</w:t>
            </w:r>
          </w:p>
        </w:tc>
        <w:tc>
          <w:tcPr>
            <w:tcW w:w="2512" w:type="dxa"/>
          </w:tcPr>
          <w:p w:rsidR="00132E0C" w:rsidRPr="00C33E16" w:rsidRDefault="00CE7FC9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Article 9.2</w:t>
            </w:r>
          </w:p>
        </w:tc>
      </w:tr>
      <w:tr w:rsidR="002C625B" w:rsidTr="00311FCB">
        <w:tc>
          <w:tcPr>
            <w:tcW w:w="4533" w:type="dxa"/>
          </w:tcPr>
          <w:p w:rsidR="002C625B" w:rsidRPr="00A437B7" w:rsidRDefault="002C625B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Approval of the Compliments and Complaints Policy and Procedure</w:t>
            </w:r>
          </w:p>
        </w:tc>
        <w:tc>
          <w:tcPr>
            <w:tcW w:w="2306" w:type="dxa"/>
          </w:tcPr>
          <w:p w:rsidR="002C625B" w:rsidRPr="00A437B7" w:rsidRDefault="002C625B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Quality, Performance &amp; </w:t>
            </w:r>
            <w:r>
              <w:rPr>
                <w:rFonts w:cs="Arial"/>
                <w:szCs w:val="24"/>
              </w:rPr>
              <w:lastRenderedPageBreak/>
              <w:t>Standards Committee</w:t>
            </w:r>
          </w:p>
        </w:tc>
        <w:tc>
          <w:tcPr>
            <w:tcW w:w="2512" w:type="dxa"/>
          </w:tcPr>
          <w:p w:rsidR="002C625B" w:rsidRDefault="007A5420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Policy</w:t>
            </w:r>
          </w:p>
        </w:tc>
      </w:tr>
      <w:tr w:rsidR="00826939" w:rsidTr="00311FCB">
        <w:tc>
          <w:tcPr>
            <w:tcW w:w="4533" w:type="dxa"/>
          </w:tcPr>
          <w:p w:rsidR="00826939" w:rsidRPr="00A437B7" w:rsidRDefault="00826939" w:rsidP="00AB538A">
            <w:pPr>
              <w:spacing w:after="60"/>
              <w:rPr>
                <w:rFonts w:cs="Arial"/>
                <w:szCs w:val="24"/>
              </w:rPr>
            </w:pPr>
            <w:r w:rsidRPr="00A437B7">
              <w:rPr>
                <w:rFonts w:cs="Arial"/>
                <w:szCs w:val="24"/>
              </w:rPr>
              <w:t>Interpretation of this Scheme of Delegation</w:t>
            </w:r>
          </w:p>
        </w:tc>
        <w:tc>
          <w:tcPr>
            <w:tcW w:w="2306" w:type="dxa"/>
          </w:tcPr>
          <w:p w:rsidR="00826939" w:rsidRPr="00A437B7" w:rsidRDefault="00826939" w:rsidP="00AB538A">
            <w:pPr>
              <w:spacing w:after="60"/>
              <w:rPr>
                <w:rFonts w:cs="Arial"/>
                <w:szCs w:val="24"/>
              </w:rPr>
            </w:pPr>
            <w:r w:rsidRPr="00A437B7">
              <w:rPr>
                <w:rFonts w:cs="Arial"/>
                <w:szCs w:val="24"/>
              </w:rPr>
              <w:t>Cor</w:t>
            </w:r>
            <w:r>
              <w:rPr>
                <w:rFonts w:cs="Arial"/>
                <w:szCs w:val="24"/>
              </w:rPr>
              <w:t>poration Chair,</w:t>
            </w:r>
            <w:r w:rsidRPr="00A437B7">
              <w:rPr>
                <w:rFonts w:cs="Arial"/>
                <w:szCs w:val="24"/>
              </w:rPr>
              <w:t xml:space="preserve"> with</w:t>
            </w:r>
            <w:r>
              <w:rPr>
                <w:rFonts w:cs="Arial"/>
                <w:szCs w:val="24"/>
              </w:rPr>
              <w:t xml:space="preserve"> Clerk’s</w:t>
            </w:r>
            <w:r w:rsidRPr="00A437B7">
              <w:rPr>
                <w:rFonts w:cs="Arial"/>
                <w:szCs w:val="24"/>
              </w:rPr>
              <w:t xml:space="preserve"> advice </w:t>
            </w:r>
          </w:p>
        </w:tc>
        <w:tc>
          <w:tcPr>
            <w:tcW w:w="2512" w:type="dxa"/>
          </w:tcPr>
          <w:p w:rsidR="00826939" w:rsidRPr="00A437B7" w:rsidRDefault="00826939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Scheme of Delegation</w:t>
            </w:r>
          </w:p>
        </w:tc>
      </w:tr>
      <w:tr w:rsidR="003F75E1" w:rsidTr="00311FCB">
        <w:tc>
          <w:tcPr>
            <w:tcW w:w="4533" w:type="dxa"/>
          </w:tcPr>
          <w:p w:rsidR="003F75E1" w:rsidRDefault="003F75E1" w:rsidP="00AB538A">
            <w:pPr>
              <w:spacing w:after="60"/>
              <w:rPr>
                <w:rFonts w:eastAsia="Times New Roman" w:cs="Arial"/>
                <w:bCs/>
                <w:kern w:val="32"/>
                <w:szCs w:val="24"/>
              </w:rPr>
            </w:pPr>
            <w:r>
              <w:rPr>
                <w:rFonts w:eastAsia="Times New Roman" w:cs="Arial"/>
                <w:bCs/>
                <w:kern w:val="32"/>
                <w:szCs w:val="24"/>
              </w:rPr>
              <w:t>Approving the Treasury Management Policy Statement and any amendments</w:t>
            </w:r>
          </w:p>
        </w:tc>
        <w:tc>
          <w:tcPr>
            <w:tcW w:w="2306" w:type="dxa"/>
          </w:tcPr>
          <w:p w:rsidR="003F75E1" w:rsidRDefault="003F75E1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Finance Committee</w:t>
            </w:r>
          </w:p>
        </w:tc>
        <w:tc>
          <w:tcPr>
            <w:tcW w:w="2512" w:type="dxa"/>
          </w:tcPr>
          <w:p w:rsidR="003F75E1" w:rsidRDefault="003F75E1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14.1, Financial Regulations</w:t>
            </w:r>
          </w:p>
        </w:tc>
      </w:tr>
      <w:tr w:rsidR="005B7D2C" w:rsidTr="00311FCB">
        <w:tc>
          <w:tcPr>
            <w:tcW w:w="4533" w:type="dxa"/>
          </w:tcPr>
          <w:p w:rsidR="005B7D2C" w:rsidRPr="00A437B7" w:rsidRDefault="005B7D2C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Approval of bank mandates</w:t>
            </w:r>
          </w:p>
        </w:tc>
        <w:tc>
          <w:tcPr>
            <w:tcW w:w="2306" w:type="dxa"/>
          </w:tcPr>
          <w:p w:rsidR="005B7D2C" w:rsidRPr="00A437B7" w:rsidRDefault="005B7D2C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Finance Committee</w:t>
            </w:r>
          </w:p>
        </w:tc>
        <w:tc>
          <w:tcPr>
            <w:tcW w:w="2512" w:type="dxa"/>
          </w:tcPr>
          <w:p w:rsidR="005B7D2C" w:rsidRPr="00A437B7" w:rsidRDefault="005B7D2C" w:rsidP="0076240E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14.3</w:t>
            </w:r>
            <w:r w:rsidR="0076240E">
              <w:rPr>
                <w:rFonts w:cs="Arial"/>
                <w:szCs w:val="24"/>
              </w:rPr>
              <w:t>, Financial Regulations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F5185" w:rsidTr="00311FCB">
        <w:tc>
          <w:tcPr>
            <w:tcW w:w="4533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Establishing procedures to deal with any patents accruing to the College from inventions and discoveries made by staff in the course of research</w:t>
            </w:r>
          </w:p>
        </w:tc>
        <w:tc>
          <w:tcPr>
            <w:tcW w:w="2306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Finance Committee</w:t>
            </w:r>
          </w:p>
        </w:tc>
        <w:tc>
          <w:tcPr>
            <w:tcW w:w="2512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19.2, Financial Regulations</w:t>
            </w:r>
          </w:p>
        </w:tc>
      </w:tr>
      <w:tr w:rsidR="00F722FF" w:rsidTr="00311FCB">
        <w:tc>
          <w:tcPr>
            <w:tcW w:w="4533" w:type="dxa"/>
          </w:tcPr>
          <w:p w:rsidR="00F722FF" w:rsidRPr="00A437B7" w:rsidRDefault="00F722FF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Determining the insurance cover required by the business</w:t>
            </w:r>
          </w:p>
        </w:tc>
        <w:tc>
          <w:tcPr>
            <w:tcW w:w="2306" w:type="dxa"/>
          </w:tcPr>
          <w:p w:rsidR="00F722FF" w:rsidRPr="00A437B7" w:rsidRDefault="00F722FF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Finance Committee</w:t>
            </w:r>
          </w:p>
        </w:tc>
        <w:tc>
          <w:tcPr>
            <w:tcW w:w="2512" w:type="dxa"/>
          </w:tcPr>
          <w:p w:rsidR="00F722FF" w:rsidRDefault="00F722FF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24.1 Financial Regulations</w:t>
            </w:r>
          </w:p>
        </w:tc>
      </w:tr>
      <w:tr w:rsidR="007B5509" w:rsidTr="00311FCB">
        <w:tc>
          <w:tcPr>
            <w:tcW w:w="4533" w:type="dxa"/>
          </w:tcPr>
          <w:p w:rsidR="007B5509" w:rsidRPr="00A437B7" w:rsidRDefault="00D2560A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Approval of any changes to</w:t>
            </w:r>
            <w:r w:rsidR="007B5509">
              <w:rPr>
                <w:rFonts w:cs="Arial"/>
                <w:szCs w:val="24"/>
              </w:rPr>
              <w:t xml:space="preserve"> the Fraud Response Plan </w:t>
            </w:r>
          </w:p>
        </w:tc>
        <w:tc>
          <w:tcPr>
            <w:tcW w:w="2306" w:type="dxa"/>
          </w:tcPr>
          <w:p w:rsidR="007B5509" w:rsidRPr="00A437B7" w:rsidRDefault="007B5509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 Committee</w:t>
            </w:r>
          </w:p>
        </w:tc>
        <w:tc>
          <w:tcPr>
            <w:tcW w:w="2512" w:type="dxa"/>
          </w:tcPr>
          <w:p w:rsidR="007B5509" w:rsidRDefault="007B5509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8 Fraud Response Plan</w:t>
            </w:r>
          </w:p>
        </w:tc>
      </w:tr>
      <w:tr w:rsidR="00CF5185" w:rsidTr="00311FCB">
        <w:tc>
          <w:tcPr>
            <w:tcW w:w="4533" w:type="dxa"/>
          </w:tcPr>
          <w:p w:rsidR="00CF5185" w:rsidRPr="00A437B7" w:rsidRDefault="00CF5185" w:rsidP="00AB538A">
            <w:pPr>
              <w:spacing w:after="60"/>
              <w:rPr>
                <w:rFonts w:cs="Arial"/>
                <w:szCs w:val="24"/>
              </w:rPr>
            </w:pPr>
            <w:r w:rsidRPr="00A437B7">
              <w:rPr>
                <w:rFonts w:cs="Arial"/>
                <w:szCs w:val="24"/>
              </w:rPr>
              <w:t xml:space="preserve">Authority to depart from the Financial Regulations in exceptional circumstances </w:t>
            </w:r>
          </w:p>
        </w:tc>
        <w:tc>
          <w:tcPr>
            <w:tcW w:w="2306" w:type="dxa"/>
          </w:tcPr>
          <w:p w:rsidR="00CF5185" w:rsidRPr="00A437B7" w:rsidRDefault="00CF5185" w:rsidP="00AB538A">
            <w:pPr>
              <w:spacing w:after="60"/>
              <w:rPr>
                <w:rFonts w:cs="Arial"/>
                <w:szCs w:val="24"/>
              </w:rPr>
            </w:pPr>
            <w:r w:rsidRPr="00A437B7">
              <w:rPr>
                <w:rFonts w:cs="Arial"/>
                <w:szCs w:val="24"/>
              </w:rPr>
              <w:t>Audit Committee</w:t>
            </w:r>
          </w:p>
        </w:tc>
        <w:tc>
          <w:tcPr>
            <w:tcW w:w="2512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2.</w:t>
            </w:r>
            <w:r w:rsidR="00B00A0A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, Financial Regulations</w:t>
            </w:r>
          </w:p>
        </w:tc>
      </w:tr>
      <w:tr w:rsidR="00CF5185" w:rsidTr="00311FCB">
        <w:tc>
          <w:tcPr>
            <w:tcW w:w="4533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Commissioning an investigation in respect of any suspected financial irregularity</w:t>
            </w:r>
          </w:p>
        </w:tc>
        <w:tc>
          <w:tcPr>
            <w:tcW w:w="2306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 Committee</w:t>
            </w:r>
          </w:p>
        </w:tc>
        <w:tc>
          <w:tcPr>
            <w:tcW w:w="2512" w:type="dxa"/>
          </w:tcPr>
          <w:p w:rsidR="00CF5185" w:rsidRDefault="00B00A0A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 Committee Terms of Reference</w:t>
            </w:r>
          </w:p>
        </w:tc>
      </w:tr>
      <w:tr w:rsidR="00CF5185" w:rsidTr="00311FCB">
        <w:tc>
          <w:tcPr>
            <w:tcW w:w="4533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Approval of form of contract for off-site collaborative provision (franchising)</w:t>
            </w:r>
          </w:p>
        </w:tc>
        <w:tc>
          <w:tcPr>
            <w:tcW w:w="2306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 Committee and Corporation</w:t>
            </w:r>
          </w:p>
        </w:tc>
        <w:tc>
          <w:tcPr>
            <w:tcW w:w="2512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Para </w:t>
            </w:r>
            <w:r w:rsidR="00B00A0A">
              <w:rPr>
                <w:rFonts w:cs="Arial"/>
                <w:szCs w:val="24"/>
              </w:rPr>
              <w:t>18.2</w:t>
            </w:r>
            <w:r>
              <w:rPr>
                <w:rFonts w:cs="Arial"/>
                <w:szCs w:val="24"/>
              </w:rPr>
              <w:t>, Financial Regulations</w:t>
            </w:r>
          </w:p>
        </w:tc>
      </w:tr>
      <w:tr w:rsidR="00CF5185" w:rsidTr="00311FCB">
        <w:tc>
          <w:tcPr>
            <w:tcW w:w="4533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Approval of </w:t>
            </w:r>
            <w:r w:rsidR="00B00A0A">
              <w:rPr>
                <w:rFonts w:cs="Arial"/>
                <w:szCs w:val="24"/>
              </w:rPr>
              <w:t xml:space="preserve">claims for </w:t>
            </w:r>
            <w:r>
              <w:rPr>
                <w:rFonts w:cs="Arial"/>
                <w:szCs w:val="24"/>
              </w:rPr>
              <w:t xml:space="preserve">travel for the </w:t>
            </w:r>
            <w:r w:rsidR="00A27BCE">
              <w:rPr>
                <w:rFonts w:cs="Arial"/>
                <w:szCs w:val="24"/>
              </w:rPr>
              <w:t>Principal/CEO</w:t>
            </w:r>
            <w:r>
              <w:rPr>
                <w:rFonts w:cs="Arial"/>
                <w:szCs w:val="24"/>
              </w:rPr>
              <w:t xml:space="preserve"> </w:t>
            </w:r>
            <w:r w:rsidR="00B00A0A">
              <w:rPr>
                <w:rFonts w:cs="Arial"/>
                <w:szCs w:val="24"/>
              </w:rPr>
              <w:t>and Clerk</w:t>
            </w:r>
          </w:p>
        </w:tc>
        <w:tc>
          <w:tcPr>
            <w:tcW w:w="2306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  <w:r w:rsidR="00B00A0A">
              <w:rPr>
                <w:rFonts w:cs="Arial"/>
                <w:szCs w:val="24"/>
              </w:rPr>
              <w:t xml:space="preserve"> or Vice Chair</w:t>
            </w:r>
            <w:r>
              <w:rPr>
                <w:rFonts w:cs="Arial"/>
                <w:szCs w:val="24"/>
              </w:rPr>
              <w:t xml:space="preserve"> of Corporation</w:t>
            </w:r>
          </w:p>
        </w:tc>
        <w:tc>
          <w:tcPr>
            <w:tcW w:w="2512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2</w:t>
            </w:r>
            <w:r w:rsidR="00B00A0A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.5</w:t>
            </w:r>
            <w:r w:rsidR="00B00A0A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Financial Regulations</w:t>
            </w:r>
          </w:p>
        </w:tc>
      </w:tr>
      <w:tr w:rsidR="00CF5185" w:rsidTr="00311FCB">
        <w:tc>
          <w:tcPr>
            <w:tcW w:w="4533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Authorising Governors’ Expenses</w:t>
            </w:r>
          </w:p>
        </w:tc>
        <w:tc>
          <w:tcPr>
            <w:tcW w:w="2306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Clerk</w:t>
            </w:r>
          </w:p>
        </w:tc>
        <w:tc>
          <w:tcPr>
            <w:tcW w:w="2512" w:type="dxa"/>
          </w:tcPr>
          <w:p w:rsidR="00CF5185" w:rsidRDefault="00CF5185" w:rsidP="00AB53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 2</w:t>
            </w:r>
            <w:r w:rsidR="00B00A0A">
              <w:rPr>
                <w:rFonts w:cs="Arial"/>
                <w:szCs w:val="24"/>
              </w:rPr>
              <w:t>1.</w:t>
            </w:r>
            <w:r w:rsidR="007B5509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, Financial Regulations</w:t>
            </w:r>
          </w:p>
        </w:tc>
      </w:tr>
    </w:tbl>
    <w:p w:rsidR="009C2844" w:rsidRPr="00493814" w:rsidRDefault="00493814" w:rsidP="000F794B">
      <w:pPr>
        <w:pStyle w:val="ListParagraph"/>
        <w:numPr>
          <w:ilvl w:val="1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rFonts w:cs="Arial"/>
        </w:rPr>
      </w:pPr>
      <w:r w:rsidRPr="00493814">
        <w:rPr>
          <w:rFonts w:cs="Arial"/>
        </w:rPr>
        <w:t xml:space="preserve">Subject to the above, the </w:t>
      </w:r>
      <w:r w:rsidR="009C2844" w:rsidRPr="00493814">
        <w:rPr>
          <w:rFonts w:cs="Arial"/>
        </w:rPr>
        <w:t xml:space="preserve">Corporation delegates full authority in terms of administration, staffing, contracts and financial matters, </w:t>
      </w:r>
      <w:r w:rsidR="001765E0">
        <w:rPr>
          <w:rFonts w:cs="Arial"/>
        </w:rPr>
        <w:t>as follows:</w:t>
      </w:r>
      <w:r w:rsidR="009C2844" w:rsidRPr="00493814">
        <w:rPr>
          <w:rFonts w:cs="Arial"/>
        </w:rPr>
        <w:t xml:space="preserve"> </w:t>
      </w:r>
    </w:p>
    <w:p w:rsidR="00490F4B" w:rsidRDefault="00887DCE" w:rsidP="00490F4B">
      <w:pPr>
        <w:pStyle w:val="Heading2"/>
      </w:pPr>
      <w:r w:rsidRPr="00A437B7">
        <w:t xml:space="preserve">Policy </w:t>
      </w:r>
      <w:r w:rsidR="003D4570">
        <w:t xml:space="preserve">and Strategy </w:t>
      </w:r>
      <w:r w:rsidR="00677DBE">
        <w:t>F</w:t>
      </w:r>
      <w:r w:rsidRPr="00A437B7">
        <w:t>ormulation</w:t>
      </w:r>
      <w:r w:rsidR="003D4570">
        <w:t xml:space="preserve"> and </w:t>
      </w:r>
      <w:r w:rsidR="00677DBE">
        <w:t>A</w:t>
      </w:r>
      <w:r w:rsidR="003D4570">
        <w:t>pproval</w:t>
      </w:r>
    </w:p>
    <w:p w:rsidR="00490F4B" w:rsidRP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Approval of key resource strategies, including in particular finance, HR, marketing, estates, and IT&amp;S strategies.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Source/Rationale: (if not this Scheme)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Approval of key delivery strategies, for example, international, community engagement, employer engagement, and recruitment.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Source/Rationale: (if not this Scheme)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Preparation (but not approval) of treasury management policy statement and subsequent amendment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Source/Rationale: Para 10, Treasury Management Policy Statement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Deciding the most appropriate method of payment for categories of invoice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Source/Rationale: Para 20.9,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Prescribing or approving the format of all timesheet and other pay documents.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Source/Rationale: Para 21.3,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5"/>
        </w:numPr>
      </w:pPr>
      <w:r>
        <w:t>Function: Prescribing the format for recording the use of student welfare funds</w:t>
      </w:r>
    </w:p>
    <w:p w:rsidR="00490F4B" w:rsidRDefault="00490F4B" w:rsidP="00490F4B">
      <w:pPr>
        <w:pStyle w:val="ListParagraph"/>
        <w:numPr>
          <w:ilvl w:val="0"/>
          <w:numId w:val="25"/>
        </w:numPr>
      </w:pPr>
      <w:r>
        <w:t>Delegated to: Executive Finance Director</w:t>
      </w:r>
    </w:p>
    <w:p w:rsidR="00490F4B" w:rsidRPr="00490F4B" w:rsidRDefault="00490F4B" w:rsidP="00490F4B">
      <w:pPr>
        <w:pStyle w:val="ListParagraph"/>
        <w:numPr>
          <w:ilvl w:val="0"/>
          <w:numId w:val="25"/>
        </w:numPr>
      </w:pPr>
      <w:r>
        <w:t>Source/Rationale: Para 23.2, Financial Regulations</w:t>
      </w:r>
    </w:p>
    <w:p w:rsidR="00131CF7" w:rsidRPr="003D39C9" w:rsidRDefault="00131CF7" w:rsidP="00887DCE">
      <w:pPr>
        <w:rPr>
          <w:rFonts w:cs="Arial"/>
          <w:b/>
          <w:sz w:val="6"/>
          <w:szCs w:val="24"/>
        </w:rPr>
      </w:pPr>
    </w:p>
    <w:p w:rsidR="00887DCE" w:rsidRDefault="00C81086" w:rsidP="00490F4B">
      <w:pPr>
        <w:pStyle w:val="Heading2"/>
      </w:pPr>
      <w:r>
        <w:t>Treasury Management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8"/>
        </w:numPr>
      </w:pPr>
      <w:r>
        <w:t>Function:</w:t>
      </w:r>
      <w:r>
        <w:t xml:space="preserve"> </w:t>
      </w:r>
      <w:r>
        <w:t xml:space="preserve">Preparation (but not approval) of three-year financial plan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>Delegated to:</w:t>
      </w:r>
      <w:r>
        <w:t xml:space="preserve"> </w:t>
      </w:r>
      <w:r>
        <w:t xml:space="preserve">Executive Finance Director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>Source/Rationale: Para 10.1, Financial Regulations</w:t>
      </w:r>
    </w:p>
    <w:p w:rsidR="00490F4B" w:rsidRDefault="00490F4B" w:rsidP="00490F4B">
      <w:pPr>
        <w:pStyle w:val="ListParagraph"/>
      </w:pP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Function: Bad debt write off up to £5k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Delegated to: Executive Finance Director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>Source/Rationale: Para 15.5 and Appendix J, Financial Regulations</w:t>
      </w:r>
    </w:p>
    <w:p w:rsidR="00490F4B" w:rsidRDefault="00490F4B" w:rsidP="00490F4B">
      <w:pPr>
        <w:pStyle w:val="ListParagraph"/>
      </w:pP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Function: Bad debt write off £5k+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Delegated to: Principal/CEO with notification to Finance Committee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>Source/Rationale:</w:t>
      </w:r>
      <w:r>
        <w:t xml:space="preserve"> </w:t>
      </w:r>
      <w:r>
        <w:t>Para 15.5 and Appendix J, Financial Regulations</w:t>
      </w:r>
    </w:p>
    <w:p w:rsidR="00490F4B" w:rsidRDefault="00490F4B" w:rsidP="00490F4B">
      <w:pPr>
        <w:pStyle w:val="ListParagraph"/>
      </w:pP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Function: Borrowing  </w:t>
      </w:r>
    </w:p>
    <w:p w:rsidR="00490F4B" w:rsidRDefault="00490F4B" w:rsidP="00490F4B">
      <w:pPr>
        <w:pStyle w:val="ListParagraph"/>
        <w:numPr>
          <w:ilvl w:val="0"/>
          <w:numId w:val="28"/>
        </w:numPr>
      </w:pPr>
      <w:r>
        <w:t xml:space="preserve">Delegated to: Principal/CEO  </w:t>
      </w:r>
    </w:p>
    <w:p w:rsidR="00490F4B" w:rsidRPr="00490F4B" w:rsidRDefault="00490F4B" w:rsidP="00490F4B">
      <w:pPr>
        <w:pStyle w:val="ListParagraph"/>
        <w:numPr>
          <w:ilvl w:val="0"/>
          <w:numId w:val="28"/>
        </w:numPr>
      </w:pPr>
      <w:r>
        <w:t>Source/Rationale:</w:t>
      </w:r>
      <w:r>
        <w:t xml:space="preserve"> </w:t>
      </w:r>
      <w:r>
        <w:t>Treasury Management Policy Statement, para 14.1</w:t>
      </w:r>
    </w:p>
    <w:p w:rsidR="00B52608" w:rsidRDefault="00B52608" w:rsidP="00A437B7">
      <w:pPr>
        <w:spacing w:after="0" w:line="240" w:lineRule="auto"/>
        <w:rPr>
          <w:rFonts w:cs="Arial"/>
          <w:szCs w:val="24"/>
        </w:rPr>
      </w:pPr>
    </w:p>
    <w:p w:rsidR="00490F4B" w:rsidRDefault="00841ED0" w:rsidP="00490F4B">
      <w:pPr>
        <w:pStyle w:val="Heading2"/>
      </w:pPr>
      <w:r w:rsidRPr="00841ED0">
        <w:t>Financial Administration</w:t>
      </w:r>
      <w:r w:rsidR="008E0AE8">
        <w:t xml:space="preserve"> and Procedures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Authorising payments for maintenance and other items to students on behalf of sponsoring organisations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20.13,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 xml:space="preserve">Function: Approval of issue of College </w:t>
      </w:r>
      <w:proofErr w:type="spellStart"/>
      <w:r>
        <w:t>ePay</w:t>
      </w:r>
      <w:proofErr w:type="spellEnd"/>
      <w:r>
        <w:t xml:space="preserve"> cards to staff members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Finance Team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20.11,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Approving cash advances for projects carried out away from the College where cash expenditure may be unavoidable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 and relevant budget holder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20.15,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Preparing annual capital and revenue budgets and financial plans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Preparing accounts, management information, monitoring and control of expenditure against budgets and all financial operations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Preparing the College’s annual accounts and other financial statements, forecasts and accounts, which the College is required to submit to other authorities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Ensuring that the College maintains satisfactory financial systems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Advising on the Detailed Financial Procedures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Day to day liaison with internal and external auditors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Day to day liaison with the College’s bankers in relation to the College’s bank accounts and the issue of cheques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14.3,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Open/close a bank account for dealing with the College’s funds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Principal/CEO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14.3,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Ensuring that all bank accounts are subject to regular reconciliation and any large or unusual items are investigated.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14.3,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Supervision and approval of finance systems operating within departments, including the form in which accounts and records are kept.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6.3,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Approving procedures for the receipt of payments by debit or credit card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15.3,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lastRenderedPageBreak/>
        <w:t>Function: Making all tax payments, receiving tax credits and submitting tax returns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 (VAT and Corporation Tax); Executive Director of HR (employment related taxation)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Source/Rationale: Para 12.7,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29"/>
        </w:numPr>
      </w:pPr>
      <w:r>
        <w:t>Function: Determining the College’s insurance arrangements</w:t>
      </w:r>
    </w:p>
    <w:p w:rsidR="00490F4B" w:rsidRDefault="00490F4B" w:rsidP="00490F4B">
      <w:pPr>
        <w:pStyle w:val="ListParagraph"/>
        <w:numPr>
          <w:ilvl w:val="0"/>
          <w:numId w:val="29"/>
        </w:numPr>
      </w:pPr>
      <w:r>
        <w:t>Delegated to: Executive Finance Director</w:t>
      </w:r>
    </w:p>
    <w:p w:rsidR="00490F4B" w:rsidRPr="00490F4B" w:rsidRDefault="00490F4B" w:rsidP="00490F4B">
      <w:pPr>
        <w:pStyle w:val="ListParagraph"/>
        <w:numPr>
          <w:ilvl w:val="0"/>
          <w:numId w:val="29"/>
        </w:numPr>
      </w:pPr>
      <w:r>
        <w:t>Source/Rationale: Para 24.1, Financial Regulations</w:t>
      </w:r>
    </w:p>
    <w:p w:rsidR="00841ED0" w:rsidRDefault="00841ED0" w:rsidP="00A437B7">
      <w:pPr>
        <w:spacing w:after="0" w:line="240" w:lineRule="auto"/>
        <w:rPr>
          <w:rFonts w:cs="Arial"/>
          <w:szCs w:val="24"/>
        </w:rPr>
      </w:pPr>
    </w:p>
    <w:p w:rsidR="00841ED0" w:rsidRDefault="00841ED0" w:rsidP="00A437B7">
      <w:pPr>
        <w:spacing w:after="0" w:line="240" w:lineRule="auto"/>
        <w:rPr>
          <w:rFonts w:cs="Arial"/>
          <w:szCs w:val="24"/>
        </w:rPr>
      </w:pPr>
    </w:p>
    <w:p w:rsidR="00887DCE" w:rsidRDefault="00887DCE" w:rsidP="00490F4B">
      <w:pPr>
        <w:pStyle w:val="Heading2"/>
      </w:pPr>
      <w:r w:rsidRPr="00A437B7">
        <w:t>Governance, management and control</w:t>
      </w:r>
    </w:p>
    <w:p w:rsidR="00490F4B" w:rsidRPr="00490F4B" w:rsidRDefault="00490F4B" w:rsidP="00490F4B"/>
    <w:p w:rsidR="00490F4B" w:rsidRDefault="00490F4B" w:rsidP="00490F4B">
      <w:pPr>
        <w:pStyle w:val="ListParagraph"/>
        <w:numPr>
          <w:ilvl w:val="0"/>
          <w:numId w:val="30"/>
        </w:numPr>
      </w:pPr>
      <w:r>
        <w:t>Function: Determining management structure</w:t>
      </w: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Delegated to: Principal/CEO</w:t>
      </w: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Source/Rationale: (If not this Scheme)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0"/>
        </w:numPr>
      </w:pPr>
      <w:r>
        <w:t>Function: Implement the Major Incident Plan</w:t>
      </w: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Delegated to: Any Executive Team member: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Principal/CEO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VP Corporate Operations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VP Curriculum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Exec Finance Dir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Exec Dir HR</w:t>
      </w:r>
    </w:p>
    <w:p w:rsidR="00490F4B" w:rsidRDefault="00490F4B" w:rsidP="00490F4B">
      <w:pPr>
        <w:pStyle w:val="ListParagraph"/>
        <w:numPr>
          <w:ilvl w:val="1"/>
          <w:numId w:val="30"/>
        </w:numPr>
      </w:pPr>
      <w:r>
        <w:t>Exec Dir College Info Systems</w:t>
      </w: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Source/Rationale: Para 1.1, Major Incident and Business Continuity Plan</w:t>
      </w:r>
    </w:p>
    <w:p w:rsidR="00490F4B" w:rsidRDefault="00490F4B" w:rsidP="00490F4B">
      <w:pPr>
        <w:pStyle w:val="ListParagraph"/>
      </w:pP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Function: Operational responsibility for disaster recovery implementation</w:t>
      </w:r>
    </w:p>
    <w:p w:rsidR="00490F4B" w:rsidRDefault="00490F4B" w:rsidP="00490F4B">
      <w:pPr>
        <w:pStyle w:val="ListParagraph"/>
        <w:numPr>
          <w:ilvl w:val="0"/>
          <w:numId w:val="30"/>
        </w:numPr>
      </w:pPr>
      <w:r>
        <w:t>Delegated to: VP Corporate Operations (Head of Estates, Facilities, and Security = deputy)</w:t>
      </w:r>
    </w:p>
    <w:p w:rsidR="00490F4B" w:rsidRPr="00490F4B" w:rsidRDefault="00490F4B" w:rsidP="00490F4B">
      <w:pPr>
        <w:pStyle w:val="ListParagraph"/>
        <w:numPr>
          <w:ilvl w:val="0"/>
          <w:numId w:val="30"/>
        </w:numPr>
      </w:pPr>
      <w:r>
        <w:t>Source/Rationale: Para 2.1, Major Incident and Business Continuity Plan</w:t>
      </w:r>
    </w:p>
    <w:p w:rsidR="000A0D23" w:rsidRPr="00BD450B" w:rsidRDefault="000A0D23" w:rsidP="009C24DA">
      <w:pPr>
        <w:spacing w:after="120"/>
        <w:rPr>
          <w:rFonts w:cs="Arial"/>
          <w:b/>
          <w:sz w:val="4"/>
          <w:szCs w:val="24"/>
        </w:rPr>
      </w:pPr>
    </w:p>
    <w:p w:rsidR="00E2452F" w:rsidRDefault="00E2452F" w:rsidP="00490F4B">
      <w:pPr>
        <w:pStyle w:val="Heading2"/>
      </w:pPr>
      <w:r w:rsidRPr="00E2452F">
        <w:t>European Union and other Matched Funding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1"/>
        </w:numPr>
      </w:pPr>
      <w:r>
        <w:t>Function: Approval of applications for EU or other matched funding</w:t>
      </w:r>
    </w:p>
    <w:p w:rsidR="00490F4B" w:rsidRDefault="00490F4B" w:rsidP="00490F4B">
      <w:pPr>
        <w:pStyle w:val="ListParagraph"/>
        <w:numPr>
          <w:ilvl w:val="0"/>
          <w:numId w:val="31"/>
        </w:numPr>
      </w:pPr>
      <w:r>
        <w:t>Delegated to: Executive Team (as above)</w:t>
      </w:r>
    </w:p>
    <w:p w:rsidR="00490F4B" w:rsidRDefault="00490F4B" w:rsidP="00490F4B">
      <w:pPr>
        <w:pStyle w:val="ListParagraph"/>
        <w:numPr>
          <w:ilvl w:val="0"/>
          <w:numId w:val="31"/>
        </w:numPr>
      </w:pPr>
      <w:r>
        <w:t>Source/Rationale: Para 18.3,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1"/>
        </w:numPr>
      </w:pPr>
      <w:r>
        <w:lastRenderedPageBreak/>
        <w:t>Function: Responsibility to ensure compliance with legal obligations concerning EU procurement legislation</w:t>
      </w:r>
    </w:p>
    <w:p w:rsidR="00490F4B" w:rsidRDefault="00490F4B" w:rsidP="00490F4B">
      <w:pPr>
        <w:pStyle w:val="ListParagraph"/>
        <w:numPr>
          <w:ilvl w:val="0"/>
          <w:numId w:val="31"/>
        </w:numPr>
      </w:pPr>
      <w:r>
        <w:t>Delegated to: Executive Finance Director</w:t>
      </w:r>
    </w:p>
    <w:p w:rsidR="00490F4B" w:rsidRDefault="00490F4B" w:rsidP="00490F4B">
      <w:pPr>
        <w:pStyle w:val="ListParagraph"/>
        <w:numPr>
          <w:ilvl w:val="0"/>
          <w:numId w:val="31"/>
        </w:numPr>
      </w:pPr>
      <w:r>
        <w:t>Source/Rationale: Para 20.8,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1"/>
        </w:numPr>
      </w:pPr>
      <w:r>
        <w:t>Function: Responsibility to report to the Executive Finance Director any proposed purchase that is likely to exceed the thresholds and supply documentation</w:t>
      </w:r>
    </w:p>
    <w:p w:rsidR="00490F4B" w:rsidRDefault="00490F4B" w:rsidP="00490F4B">
      <w:pPr>
        <w:pStyle w:val="ListParagraph"/>
        <w:numPr>
          <w:ilvl w:val="0"/>
          <w:numId w:val="31"/>
        </w:numPr>
      </w:pPr>
      <w:r>
        <w:t>Delegated to: Relevant Budget Holder</w:t>
      </w:r>
    </w:p>
    <w:p w:rsidR="00490F4B" w:rsidRPr="00490F4B" w:rsidRDefault="00490F4B" w:rsidP="00490F4B">
      <w:pPr>
        <w:pStyle w:val="ListParagraph"/>
        <w:numPr>
          <w:ilvl w:val="0"/>
          <w:numId w:val="31"/>
        </w:numPr>
      </w:pPr>
      <w:r>
        <w:t>Source/Rationale: Para 20.8, Financial Regulations</w:t>
      </w:r>
    </w:p>
    <w:p w:rsidR="002819C9" w:rsidRPr="002819C9" w:rsidRDefault="002819C9" w:rsidP="009C24DA">
      <w:pPr>
        <w:spacing w:after="120" w:line="240" w:lineRule="auto"/>
        <w:rPr>
          <w:rFonts w:cs="Arial"/>
          <w:b/>
          <w:sz w:val="20"/>
          <w:szCs w:val="24"/>
        </w:rPr>
      </w:pPr>
    </w:p>
    <w:p w:rsidR="001C2749" w:rsidRDefault="001C2749" w:rsidP="00490F4B">
      <w:pPr>
        <w:pStyle w:val="Heading2"/>
      </w:pPr>
      <w:r w:rsidRPr="00A437B7">
        <w:t>Staff</w:t>
      </w:r>
      <w:r w:rsidR="0059128C">
        <w:t>ing</w:t>
      </w:r>
      <w:r w:rsidRPr="00A437B7">
        <w:t xml:space="preserve"> 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Approval of proposed additional payments to staff members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Principal/CEO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Para 18.5,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Suspension of member of staff pending a disciplinary investigation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Principal/CEO (or Executive Team member with delegated authority)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Clause 8.1, Disciplinary Policy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Imposition of formal verbal disciplinary warning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Line Manager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Clause 6.3, Disciplinary Policy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Imposition of formal written disciplinary warning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Line manager or other designated manager per policy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Clause 6, Disciplinary Policy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Imposition of formal final written disciplinary warning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SLT member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Clause 6.5, Disciplinary Policy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Dismissal (except Senior Post Holder or Clerk)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lastRenderedPageBreak/>
        <w:t>Delegated to: Executive Team Member (as above)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Clause 6.6, Disciplinary Policy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Authority for member of staff to undertake other paid work including private consultancies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Vice Principal (Principal/CEO if a Vice Principal)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Para 18.1, Financial Regulations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Giving staff references where the member of staff has been disciplined or prosecuted for fraud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Executive Director HR and Org Dev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Source/Rationale: Para 7, Fraud Response Plan</w:t>
      </w:r>
    </w:p>
    <w:p w:rsidR="00490F4B" w:rsidRDefault="00490F4B" w:rsidP="00490F4B"/>
    <w:p w:rsidR="00490F4B" w:rsidRDefault="00490F4B" w:rsidP="00490F4B">
      <w:pPr>
        <w:pStyle w:val="ListParagraph"/>
        <w:numPr>
          <w:ilvl w:val="0"/>
          <w:numId w:val="32"/>
        </w:numPr>
      </w:pPr>
      <w:r>
        <w:t>Function: Giving student references where the student has been disciplined for fraud</w:t>
      </w:r>
    </w:p>
    <w:p w:rsidR="00490F4B" w:rsidRDefault="00490F4B" w:rsidP="00490F4B">
      <w:pPr>
        <w:pStyle w:val="ListParagraph"/>
        <w:numPr>
          <w:ilvl w:val="0"/>
          <w:numId w:val="32"/>
        </w:numPr>
      </w:pPr>
      <w:r>
        <w:t>Delegated to: VP Curriculum</w:t>
      </w:r>
    </w:p>
    <w:p w:rsidR="00490F4B" w:rsidRPr="00490F4B" w:rsidRDefault="00490F4B" w:rsidP="00490F4B">
      <w:pPr>
        <w:pStyle w:val="ListParagraph"/>
        <w:numPr>
          <w:ilvl w:val="0"/>
          <w:numId w:val="32"/>
        </w:numPr>
      </w:pPr>
      <w:r>
        <w:t>Source/Rationale: Para 7, Fraud Response Plan</w:t>
      </w:r>
    </w:p>
    <w:p w:rsidR="00004F7C" w:rsidRPr="00443997" w:rsidRDefault="00004F7C" w:rsidP="00443997">
      <w:pPr>
        <w:spacing w:after="120"/>
        <w:rPr>
          <w:rFonts w:cs="Arial"/>
          <w:sz w:val="2"/>
          <w:szCs w:val="2"/>
        </w:rPr>
      </w:pPr>
      <w:bookmarkStart w:id="2" w:name="_GoBack"/>
      <w:bookmarkEnd w:id="2"/>
    </w:p>
    <w:sectPr w:rsidR="00004F7C" w:rsidRPr="00443997" w:rsidSect="00393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25" w:rsidRDefault="00A33025" w:rsidP="00256B71">
      <w:pPr>
        <w:spacing w:after="0" w:line="240" w:lineRule="auto"/>
      </w:pPr>
      <w:r>
        <w:separator/>
      </w:r>
    </w:p>
  </w:endnote>
  <w:endnote w:type="continuationSeparator" w:id="0">
    <w:p w:rsidR="00A33025" w:rsidRDefault="00A33025" w:rsidP="0025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25" w:rsidRDefault="00A33025" w:rsidP="00256B71">
      <w:pPr>
        <w:spacing w:after="0" w:line="240" w:lineRule="auto"/>
      </w:pPr>
      <w:r>
        <w:separator/>
      </w:r>
    </w:p>
  </w:footnote>
  <w:footnote w:type="continuationSeparator" w:id="0">
    <w:p w:rsidR="00A33025" w:rsidRDefault="00A33025" w:rsidP="0025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25" w:rsidRDefault="00A33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3EE"/>
    <w:multiLevelType w:val="hybridMultilevel"/>
    <w:tmpl w:val="D192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2E5"/>
    <w:multiLevelType w:val="hybridMultilevel"/>
    <w:tmpl w:val="EC868E12"/>
    <w:lvl w:ilvl="0" w:tplc="73F05C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55442"/>
    <w:multiLevelType w:val="hybridMultilevel"/>
    <w:tmpl w:val="4844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E4C"/>
    <w:multiLevelType w:val="hybridMultilevel"/>
    <w:tmpl w:val="00729670"/>
    <w:lvl w:ilvl="0" w:tplc="CDF25BE4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E4C"/>
    <w:multiLevelType w:val="hybridMultilevel"/>
    <w:tmpl w:val="4FDC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D03E6"/>
    <w:multiLevelType w:val="hybridMultilevel"/>
    <w:tmpl w:val="14427352"/>
    <w:lvl w:ilvl="0" w:tplc="FC9CA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06951"/>
    <w:multiLevelType w:val="hybridMultilevel"/>
    <w:tmpl w:val="2D4E8798"/>
    <w:lvl w:ilvl="0" w:tplc="73F05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4781F"/>
    <w:multiLevelType w:val="hybridMultilevel"/>
    <w:tmpl w:val="0D526A8C"/>
    <w:lvl w:ilvl="0" w:tplc="5CC2D2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7020"/>
    <w:multiLevelType w:val="hybridMultilevel"/>
    <w:tmpl w:val="BAAA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43D98"/>
    <w:multiLevelType w:val="multilevel"/>
    <w:tmpl w:val="8C3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4E106AC"/>
    <w:multiLevelType w:val="hybridMultilevel"/>
    <w:tmpl w:val="C1AA1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4EEC"/>
    <w:multiLevelType w:val="hybridMultilevel"/>
    <w:tmpl w:val="E38A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E5D"/>
    <w:multiLevelType w:val="hybridMultilevel"/>
    <w:tmpl w:val="11C4F988"/>
    <w:lvl w:ilvl="0" w:tplc="2B7EFFAC">
      <w:start w:val="1"/>
      <w:numFmt w:val="lowerRoman"/>
      <w:lvlText w:val="%1."/>
      <w:lvlJc w:val="left"/>
      <w:pPr>
        <w:ind w:left="149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2EB87D49"/>
    <w:multiLevelType w:val="multilevel"/>
    <w:tmpl w:val="EDAC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00A3952"/>
    <w:multiLevelType w:val="hybridMultilevel"/>
    <w:tmpl w:val="303E270A"/>
    <w:lvl w:ilvl="0" w:tplc="BB147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1649"/>
    <w:multiLevelType w:val="multilevel"/>
    <w:tmpl w:val="88D6D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0BA363E"/>
    <w:multiLevelType w:val="hybridMultilevel"/>
    <w:tmpl w:val="5AEC6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134F2"/>
    <w:multiLevelType w:val="multilevel"/>
    <w:tmpl w:val="EDAC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E2210B2"/>
    <w:multiLevelType w:val="hybridMultilevel"/>
    <w:tmpl w:val="81A2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308B"/>
    <w:multiLevelType w:val="hybridMultilevel"/>
    <w:tmpl w:val="18863004"/>
    <w:lvl w:ilvl="0" w:tplc="D5222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23F0E"/>
    <w:multiLevelType w:val="hybridMultilevel"/>
    <w:tmpl w:val="84008D8E"/>
    <w:lvl w:ilvl="0" w:tplc="D5222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33DA"/>
    <w:multiLevelType w:val="hybridMultilevel"/>
    <w:tmpl w:val="E954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1339C"/>
    <w:multiLevelType w:val="hybridMultilevel"/>
    <w:tmpl w:val="5276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1BDE"/>
    <w:multiLevelType w:val="hybridMultilevel"/>
    <w:tmpl w:val="917CD51C"/>
    <w:lvl w:ilvl="0" w:tplc="D5222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E2106"/>
    <w:multiLevelType w:val="multilevel"/>
    <w:tmpl w:val="88D6D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F81034B"/>
    <w:multiLevelType w:val="hybridMultilevel"/>
    <w:tmpl w:val="153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917E5"/>
    <w:multiLevelType w:val="multilevel"/>
    <w:tmpl w:val="8F74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3EB5717"/>
    <w:multiLevelType w:val="hybridMultilevel"/>
    <w:tmpl w:val="A08C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66697"/>
    <w:multiLevelType w:val="multilevel"/>
    <w:tmpl w:val="F2FA0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6A2E80"/>
    <w:multiLevelType w:val="multilevel"/>
    <w:tmpl w:val="40D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694826"/>
    <w:multiLevelType w:val="multilevel"/>
    <w:tmpl w:val="EDAC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F552E65"/>
    <w:multiLevelType w:val="hybridMultilevel"/>
    <w:tmpl w:val="18863004"/>
    <w:lvl w:ilvl="0" w:tplc="D5222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24"/>
  </w:num>
  <w:num w:numId="5">
    <w:abstractNumId w:val="15"/>
  </w:num>
  <w:num w:numId="6">
    <w:abstractNumId w:val="13"/>
  </w:num>
  <w:num w:numId="7">
    <w:abstractNumId w:val="9"/>
  </w:num>
  <w:num w:numId="8">
    <w:abstractNumId w:val="20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23"/>
  </w:num>
  <w:num w:numId="14">
    <w:abstractNumId w:val="7"/>
  </w:num>
  <w:num w:numId="15">
    <w:abstractNumId w:val="10"/>
  </w:num>
  <w:num w:numId="16">
    <w:abstractNumId w:val="2"/>
  </w:num>
  <w:num w:numId="17">
    <w:abstractNumId w:val="6"/>
  </w:num>
  <w:num w:numId="18">
    <w:abstractNumId w:val="1"/>
  </w:num>
  <w:num w:numId="19">
    <w:abstractNumId w:val="16"/>
  </w:num>
  <w:num w:numId="20">
    <w:abstractNumId w:val="3"/>
  </w:num>
  <w:num w:numId="21">
    <w:abstractNumId w:val="18"/>
  </w:num>
  <w:num w:numId="22">
    <w:abstractNumId w:val="14"/>
  </w:num>
  <w:num w:numId="23">
    <w:abstractNumId w:val="27"/>
  </w:num>
  <w:num w:numId="24">
    <w:abstractNumId w:val="29"/>
  </w:num>
  <w:num w:numId="25">
    <w:abstractNumId w:val="21"/>
  </w:num>
  <w:num w:numId="26">
    <w:abstractNumId w:val="11"/>
  </w:num>
  <w:num w:numId="27">
    <w:abstractNumId w:val="5"/>
  </w:num>
  <w:num w:numId="28">
    <w:abstractNumId w:val="4"/>
  </w:num>
  <w:num w:numId="29">
    <w:abstractNumId w:val="8"/>
  </w:num>
  <w:num w:numId="30">
    <w:abstractNumId w:val="25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CE"/>
    <w:rsid w:val="00004F7C"/>
    <w:rsid w:val="00005B2F"/>
    <w:rsid w:val="000108B9"/>
    <w:rsid w:val="00021182"/>
    <w:rsid w:val="00041E14"/>
    <w:rsid w:val="00042CB7"/>
    <w:rsid w:val="00043247"/>
    <w:rsid w:val="00052006"/>
    <w:rsid w:val="0007404A"/>
    <w:rsid w:val="000A0D23"/>
    <w:rsid w:val="000A1032"/>
    <w:rsid w:val="000A2F7F"/>
    <w:rsid w:val="000C7D7D"/>
    <w:rsid w:val="000D4A25"/>
    <w:rsid w:val="000E0453"/>
    <w:rsid w:val="000E35C1"/>
    <w:rsid w:val="000F4EBA"/>
    <w:rsid w:val="000F794B"/>
    <w:rsid w:val="00116A78"/>
    <w:rsid w:val="0012206C"/>
    <w:rsid w:val="00131CF7"/>
    <w:rsid w:val="00132E0C"/>
    <w:rsid w:val="00133B02"/>
    <w:rsid w:val="00154782"/>
    <w:rsid w:val="0016105A"/>
    <w:rsid w:val="00163F3C"/>
    <w:rsid w:val="001765E0"/>
    <w:rsid w:val="00177651"/>
    <w:rsid w:val="001A79B1"/>
    <w:rsid w:val="001C2749"/>
    <w:rsid w:val="001D198B"/>
    <w:rsid w:val="001D3091"/>
    <w:rsid w:val="001E02CE"/>
    <w:rsid w:val="001F3C37"/>
    <w:rsid w:val="00212848"/>
    <w:rsid w:val="00212B88"/>
    <w:rsid w:val="00217ACA"/>
    <w:rsid w:val="00236C34"/>
    <w:rsid w:val="00237D72"/>
    <w:rsid w:val="0024375E"/>
    <w:rsid w:val="00256B71"/>
    <w:rsid w:val="002819C9"/>
    <w:rsid w:val="002C625B"/>
    <w:rsid w:val="002D353A"/>
    <w:rsid w:val="002D4949"/>
    <w:rsid w:val="002D5E3E"/>
    <w:rsid w:val="002E6110"/>
    <w:rsid w:val="002F2260"/>
    <w:rsid w:val="0030130F"/>
    <w:rsid w:val="00304C98"/>
    <w:rsid w:val="00310C1F"/>
    <w:rsid w:val="00311FCB"/>
    <w:rsid w:val="003123BE"/>
    <w:rsid w:val="00323084"/>
    <w:rsid w:val="00324620"/>
    <w:rsid w:val="00326929"/>
    <w:rsid w:val="00335372"/>
    <w:rsid w:val="00337E0D"/>
    <w:rsid w:val="00393D99"/>
    <w:rsid w:val="00394F17"/>
    <w:rsid w:val="003D3024"/>
    <w:rsid w:val="003D39C9"/>
    <w:rsid w:val="003D4570"/>
    <w:rsid w:val="003F75E1"/>
    <w:rsid w:val="00400508"/>
    <w:rsid w:val="00400D09"/>
    <w:rsid w:val="00402CBD"/>
    <w:rsid w:val="004033E9"/>
    <w:rsid w:val="00410D13"/>
    <w:rsid w:val="00410D23"/>
    <w:rsid w:val="00443997"/>
    <w:rsid w:val="004610BB"/>
    <w:rsid w:val="00485531"/>
    <w:rsid w:val="00490F4B"/>
    <w:rsid w:val="00491E68"/>
    <w:rsid w:val="00493814"/>
    <w:rsid w:val="0049392B"/>
    <w:rsid w:val="004D0E85"/>
    <w:rsid w:val="004E5A28"/>
    <w:rsid w:val="004F13CF"/>
    <w:rsid w:val="004F6853"/>
    <w:rsid w:val="00530F67"/>
    <w:rsid w:val="00575E8D"/>
    <w:rsid w:val="00584277"/>
    <w:rsid w:val="00585001"/>
    <w:rsid w:val="0059128C"/>
    <w:rsid w:val="005A66E7"/>
    <w:rsid w:val="005B4D84"/>
    <w:rsid w:val="005B7D2C"/>
    <w:rsid w:val="005D257B"/>
    <w:rsid w:val="005F3E10"/>
    <w:rsid w:val="005F3FAF"/>
    <w:rsid w:val="0060736D"/>
    <w:rsid w:val="0062087A"/>
    <w:rsid w:val="00620B50"/>
    <w:rsid w:val="00626270"/>
    <w:rsid w:val="0063264E"/>
    <w:rsid w:val="006363BD"/>
    <w:rsid w:val="006566BB"/>
    <w:rsid w:val="00667569"/>
    <w:rsid w:val="00677DBE"/>
    <w:rsid w:val="006A2842"/>
    <w:rsid w:val="006A7219"/>
    <w:rsid w:val="006B5061"/>
    <w:rsid w:val="006C3023"/>
    <w:rsid w:val="006C48A1"/>
    <w:rsid w:val="006D3C70"/>
    <w:rsid w:val="006E17B2"/>
    <w:rsid w:val="006F2369"/>
    <w:rsid w:val="006F5896"/>
    <w:rsid w:val="00702246"/>
    <w:rsid w:val="00703C77"/>
    <w:rsid w:val="00705075"/>
    <w:rsid w:val="00714B00"/>
    <w:rsid w:val="00716249"/>
    <w:rsid w:val="00721EA8"/>
    <w:rsid w:val="00722A02"/>
    <w:rsid w:val="00734379"/>
    <w:rsid w:val="00741706"/>
    <w:rsid w:val="00744F39"/>
    <w:rsid w:val="00751090"/>
    <w:rsid w:val="00751288"/>
    <w:rsid w:val="00755286"/>
    <w:rsid w:val="00757DB7"/>
    <w:rsid w:val="0076240E"/>
    <w:rsid w:val="007628D5"/>
    <w:rsid w:val="0077282B"/>
    <w:rsid w:val="00774C47"/>
    <w:rsid w:val="00783260"/>
    <w:rsid w:val="007839FB"/>
    <w:rsid w:val="007A5420"/>
    <w:rsid w:val="007A62C4"/>
    <w:rsid w:val="007B5509"/>
    <w:rsid w:val="007D09E8"/>
    <w:rsid w:val="007D5C32"/>
    <w:rsid w:val="007F6B2D"/>
    <w:rsid w:val="00802083"/>
    <w:rsid w:val="00816975"/>
    <w:rsid w:val="00826939"/>
    <w:rsid w:val="00836321"/>
    <w:rsid w:val="00841ED0"/>
    <w:rsid w:val="008458AF"/>
    <w:rsid w:val="00852CB3"/>
    <w:rsid w:val="00854041"/>
    <w:rsid w:val="0087098B"/>
    <w:rsid w:val="00887DCE"/>
    <w:rsid w:val="0089347A"/>
    <w:rsid w:val="008963F2"/>
    <w:rsid w:val="008A0656"/>
    <w:rsid w:val="008A0E88"/>
    <w:rsid w:val="008A1CC2"/>
    <w:rsid w:val="008A4B89"/>
    <w:rsid w:val="008B57C4"/>
    <w:rsid w:val="008C0EFE"/>
    <w:rsid w:val="008D1D88"/>
    <w:rsid w:val="008D308F"/>
    <w:rsid w:val="008E0AE8"/>
    <w:rsid w:val="008E14ED"/>
    <w:rsid w:val="008E3EA2"/>
    <w:rsid w:val="008E6A6C"/>
    <w:rsid w:val="008F16A2"/>
    <w:rsid w:val="00917734"/>
    <w:rsid w:val="00921669"/>
    <w:rsid w:val="00922F56"/>
    <w:rsid w:val="009315E1"/>
    <w:rsid w:val="00936C37"/>
    <w:rsid w:val="009B02FE"/>
    <w:rsid w:val="009B462B"/>
    <w:rsid w:val="009C115C"/>
    <w:rsid w:val="009C24C6"/>
    <w:rsid w:val="009C24DA"/>
    <w:rsid w:val="009C2844"/>
    <w:rsid w:val="00A1249C"/>
    <w:rsid w:val="00A1570C"/>
    <w:rsid w:val="00A27BCE"/>
    <w:rsid w:val="00A33025"/>
    <w:rsid w:val="00A437B7"/>
    <w:rsid w:val="00A65AA9"/>
    <w:rsid w:val="00A747DD"/>
    <w:rsid w:val="00A878A6"/>
    <w:rsid w:val="00A92299"/>
    <w:rsid w:val="00A948C4"/>
    <w:rsid w:val="00AA1E61"/>
    <w:rsid w:val="00AB538A"/>
    <w:rsid w:val="00AC6BF7"/>
    <w:rsid w:val="00AD6B17"/>
    <w:rsid w:val="00AD6B3A"/>
    <w:rsid w:val="00AE536F"/>
    <w:rsid w:val="00B00A0A"/>
    <w:rsid w:val="00B00A3A"/>
    <w:rsid w:val="00B025D1"/>
    <w:rsid w:val="00B03711"/>
    <w:rsid w:val="00B04D8F"/>
    <w:rsid w:val="00B52608"/>
    <w:rsid w:val="00B543B3"/>
    <w:rsid w:val="00B6672D"/>
    <w:rsid w:val="00B750C8"/>
    <w:rsid w:val="00B776F1"/>
    <w:rsid w:val="00BA2662"/>
    <w:rsid w:val="00BD450B"/>
    <w:rsid w:val="00BE75D1"/>
    <w:rsid w:val="00BE78B1"/>
    <w:rsid w:val="00BF0EE3"/>
    <w:rsid w:val="00BF0FD1"/>
    <w:rsid w:val="00BF497A"/>
    <w:rsid w:val="00C21170"/>
    <w:rsid w:val="00C22E28"/>
    <w:rsid w:val="00C33E16"/>
    <w:rsid w:val="00C3789B"/>
    <w:rsid w:val="00C43B15"/>
    <w:rsid w:val="00C63C9A"/>
    <w:rsid w:val="00C81086"/>
    <w:rsid w:val="00CA2EBD"/>
    <w:rsid w:val="00CB06F1"/>
    <w:rsid w:val="00CE5624"/>
    <w:rsid w:val="00CE7FC9"/>
    <w:rsid w:val="00CF5185"/>
    <w:rsid w:val="00D1114F"/>
    <w:rsid w:val="00D131DD"/>
    <w:rsid w:val="00D2246C"/>
    <w:rsid w:val="00D2560A"/>
    <w:rsid w:val="00D35E23"/>
    <w:rsid w:val="00D4091F"/>
    <w:rsid w:val="00D53C01"/>
    <w:rsid w:val="00D5428E"/>
    <w:rsid w:val="00D74341"/>
    <w:rsid w:val="00D86D2F"/>
    <w:rsid w:val="00D92C90"/>
    <w:rsid w:val="00D95825"/>
    <w:rsid w:val="00DC2E8D"/>
    <w:rsid w:val="00DD0424"/>
    <w:rsid w:val="00DE236F"/>
    <w:rsid w:val="00DE2E28"/>
    <w:rsid w:val="00DF3B2F"/>
    <w:rsid w:val="00E026FA"/>
    <w:rsid w:val="00E16672"/>
    <w:rsid w:val="00E2452F"/>
    <w:rsid w:val="00E61B02"/>
    <w:rsid w:val="00E642FF"/>
    <w:rsid w:val="00E77216"/>
    <w:rsid w:val="00E915CE"/>
    <w:rsid w:val="00EA1334"/>
    <w:rsid w:val="00EB351B"/>
    <w:rsid w:val="00EB7E44"/>
    <w:rsid w:val="00EC403A"/>
    <w:rsid w:val="00ED0B15"/>
    <w:rsid w:val="00EF7873"/>
    <w:rsid w:val="00F07F6E"/>
    <w:rsid w:val="00F174EC"/>
    <w:rsid w:val="00F20ACE"/>
    <w:rsid w:val="00F2358A"/>
    <w:rsid w:val="00F301CC"/>
    <w:rsid w:val="00F314AB"/>
    <w:rsid w:val="00F4512B"/>
    <w:rsid w:val="00F575C0"/>
    <w:rsid w:val="00F60DD6"/>
    <w:rsid w:val="00F63124"/>
    <w:rsid w:val="00F722FF"/>
    <w:rsid w:val="00F83823"/>
    <w:rsid w:val="00FA2C5F"/>
    <w:rsid w:val="00FC2E4F"/>
    <w:rsid w:val="00FD50E9"/>
    <w:rsid w:val="00FD5A2D"/>
    <w:rsid w:val="00FE24A9"/>
    <w:rsid w:val="00FE465E"/>
    <w:rsid w:val="00FF38B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9EE9C0"/>
  <w15:docId w15:val="{F6DC0D77-5512-4C0E-B7AC-0CC6183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2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5286"/>
    <w:pPr>
      <w:keepNext/>
      <w:keepLines/>
      <w:spacing w:before="240" w:after="0"/>
      <w:outlineLvl w:val="0"/>
    </w:pPr>
    <w:rPr>
      <w:rFonts w:eastAsia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5286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55286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C37"/>
    <w:pPr>
      <w:ind w:left="720"/>
      <w:contextualSpacing/>
    </w:pPr>
  </w:style>
  <w:style w:type="paragraph" w:customStyle="1" w:styleId="Level1">
    <w:name w:val="Level 1"/>
    <w:basedOn w:val="Normal"/>
    <w:rsid w:val="001F3C37"/>
    <w:pPr>
      <w:keepNext/>
      <w:spacing w:after="240" w:line="240" w:lineRule="auto"/>
      <w:jc w:val="both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F2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71"/>
  </w:style>
  <w:style w:type="paragraph" w:styleId="Footer">
    <w:name w:val="footer"/>
    <w:basedOn w:val="Normal"/>
    <w:link w:val="FooterChar"/>
    <w:uiPriority w:val="99"/>
    <w:unhideWhenUsed/>
    <w:rsid w:val="00256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71"/>
  </w:style>
  <w:style w:type="paragraph" w:customStyle="1" w:styleId="Default">
    <w:name w:val="Default"/>
    <w:rsid w:val="00734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55286"/>
    <w:rPr>
      <w:rFonts w:ascii="Arial" w:eastAsiaTheme="majorEastAsia" w:hAnsi="Arial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5286"/>
    <w:rPr>
      <w:rFonts w:ascii="Arial" w:eastAsia="Times New Roman" w:hAnsi="Arial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286"/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755286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75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5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8201-5BCD-45AC-B274-B02A688B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3165</Words>
  <Characters>18041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Green</dc:creator>
  <cp:lastModifiedBy>Eliza Duckworth</cp:lastModifiedBy>
  <cp:revision>2</cp:revision>
  <cp:lastPrinted>2017-09-22T15:24:00Z</cp:lastPrinted>
  <dcterms:created xsi:type="dcterms:W3CDTF">2025-02-20T09:20:00Z</dcterms:created>
  <dcterms:modified xsi:type="dcterms:W3CDTF">2025-02-20T09:20:00Z</dcterms:modified>
</cp:coreProperties>
</file>