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AE23" w14:textId="7176ED49" w:rsidR="00C32EAA" w:rsidRDefault="006B1AC7" w:rsidP="006B1AC7">
      <w:pPr>
        <w:pStyle w:val="Heading1"/>
      </w:pPr>
      <w:r>
        <w:t xml:space="preserve">Kirklees College Annual SECR Disclosure – Academic Year 2021 – 2022 </w:t>
      </w:r>
    </w:p>
    <w:p w14:paraId="7A79F7F6" w14:textId="342A8EAE" w:rsidR="006B1AC7" w:rsidRDefault="006B1AC7" w:rsidP="006B1AC7"/>
    <w:p w14:paraId="5FB07BDB" w14:textId="42C7394D" w:rsidR="006B1AC7" w:rsidRDefault="006B1AC7" w:rsidP="006B1AC7">
      <w:r w:rsidRPr="006B1AC7">
        <w:t xml:space="preserve">Base Year for emissions disclosure </w:t>
      </w:r>
      <w:r>
        <w:t xml:space="preserve">- </w:t>
      </w:r>
      <w:r w:rsidRPr="006B1AC7">
        <w:t xml:space="preserve">2020 </w:t>
      </w:r>
      <w:r>
        <w:t>–</w:t>
      </w:r>
      <w:r w:rsidRPr="006B1AC7">
        <w:t xml:space="preserve"> 2021</w:t>
      </w:r>
    </w:p>
    <w:p w14:paraId="2B0F233B" w14:textId="06F8163E" w:rsidR="006B1AC7" w:rsidRDefault="006B1AC7" w:rsidP="006B1AC7">
      <w:r w:rsidRPr="006B1AC7">
        <w:t xml:space="preserve">Reporting Organisation </w:t>
      </w:r>
      <w:r>
        <w:t xml:space="preserve">- </w:t>
      </w:r>
      <w:r w:rsidRPr="006B1AC7">
        <w:t>Kirklees College</w:t>
      </w:r>
      <w:r>
        <w:t xml:space="preserve"> </w:t>
      </w:r>
    </w:p>
    <w:p w14:paraId="7679F63A" w14:textId="494E7AA7" w:rsidR="006B1AC7" w:rsidRDefault="006B1AC7" w:rsidP="006B1AC7">
      <w:r w:rsidRPr="006B1AC7">
        <w:t xml:space="preserve">Person Responsible </w:t>
      </w:r>
      <w:r>
        <w:t xml:space="preserve">- </w:t>
      </w:r>
      <w:r w:rsidRPr="006B1AC7">
        <w:t>Philip Sugden</w:t>
      </w:r>
    </w:p>
    <w:p w14:paraId="62C42F2C" w14:textId="735862E6" w:rsidR="006B1AC7" w:rsidRDefault="006B1AC7" w:rsidP="006B1AC7">
      <w:r w:rsidRPr="006B1AC7">
        <w:t>Academic Reporting year</w:t>
      </w:r>
      <w:r>
        <w:t xml:space="preserve"> - </w:t>
      </w:r>
      <w:r w:rsidRPr="006B1AC7">
        <w:t xml:space="preserve">2021 </w:t>
      </w:r>
      <w:r>
        <w:t>–</w:t>
      </w:r>
      <w:r w:rsidRPr="006B1AC7">
        <w:t xml:space="preserve"> 2022</w:t>
      </w:r>
    </w:p>
    <w:p w14:paraId="25709B83" w14:textId="7DC6562D" w:rsidR="006B1AC7" w:rsidRDefault="006B1AC7" w:rsidP="006B1AC7">
      <w:r w:rsidRPr="006B1AC7">
        <w:t>Type of Reporting Organisation</w:t>
      </w:r>
      <w:r>
        <w:t xml:space="preserve"> -</w:t>
      </w:r>
      <w:r w:rsidRPr="006B1AC7">
        <w:t xml:space="preserve"> College Corporation</w:t>
      </w:r>
    </w:p>
    <w:p w14:paraId="3CE4F9A1" w14:textId="0C170BC2" w:rsidR="006B1AC7" w:rsidRDefault="006B1AC7" w:rsidP="006B1AC7">
      <w:r w:rsidRPr="006B1AC7">
        <w:t xml:space="preserve">Methodology used </w:t>
      </w:r>
      <w:r>
        <w:t xml:space="preserve">- </w:t>
      </w:r>
      <w:r w:rsidRPr="006B1AC7">
        <w:t xml:space="preserve">GHG protocols </w:t>
      </w:r>
      <w:proofErr w:type="gramStart"/>
      <w:r w:rsidRPr="006B1AC7">
        <w:t>Corporate</w:t>
      </w:r>
      <w:proofErr w:type="gramEnd"/>
      <w:r w:rsidRPr="006B1AC7">
        <w:t xml:space="preserve"> standards</w:t>
      </w:r>
      <w:r>
        <w:t xml:space="preserve"> &amp; SECR guidelines for College Corporations </w:t>
      </w:r>
    </w:p>
    <w:p w14:paraId="6B2AC1BA" w14:textId="5C03DFD3" w:rsidR="006B1AC7" w:rsidRDefault="006B1AC7" w:rsidP="006B1AC7">
      <w:r w:rsidRPr="006B1AC7">
        <w:t>Emissions factors used</w:t>
      </w:r>
      <w:r>
        <w:t xml:space="preserve"> - </w:t>
      </w:r>
      <w:r w:rsidRPr="006B1AC7">
        <w:t>UK Government conversion factors for Company set</w:t>
      </w:r>
    </w:p>
    <w:p w14:paraId="1BAE7BA5" w14:textId="7870B5AC" w:rsidR="006B1AC7" w:rsidRDefault="006B1AC7" w:rsidP="006B1AC7">
      <w:r w:rsidRPr="006B1AC7">
        <w:t>Included Scope 3 emissions</w:t>
      </w:r>
      <w:r>
        <w:t xml:space="preserve"> </w:t>
      </w:r>
      <w:proofErr w:type="gramStart"/>
      <w:r>
        <w:t>- ,</w:t>
      </w:r>
      <w:proofErr w:type="gramEnd"/>
      <w:r>
        <w:t>,,,</w:t>
      </w:r>
    </w:p>
    <w:p w14:paraId="16F66E70" w14:textId="452EBC8B" w:rsidR="006B1AC7" w:rsidRDefault="006B1AC7" w:rsidP="006B1AC7">
      <w:r w:rsidRPr="006B1AC7">
        <w:t>Scope 2 emissions</w:t>
      </w:r>
      <w:r>
        <w:t xml:space="preserve"> – Location Based Power</w:t>
      </w:r>
    </w:p>
    <w:p w14:paraId="2D03F205" w14:textId="1792EF6E" w:rsidR="006B1AC7" w:rsidRDefault="006B1AC7" w:rsidP="006B1AC7">
      <w:r>
        <w:t xml:space="preserve">Exclusions – None </w:t>
      </w:r>
    </w:p>
    <w:p w14:paraId="7AF805E1" w14:textId="18068E6A" w:rsidR="006B1AC7" w:rsidRDefault="006B1AC7" w:rsidP="006B1AC7"/>
    <w:p w14:paraId="4E922DC8" w14:textId="5793C25F" w:rsidR="006B1AC7" w:rsidRDefault="006B1AC7" w:rsidP="006B1AC7">
      <w:pPr>
        <w:pStyle w:val="Heading2"/>
        <w:numPr>
          <w:ilvl w:val="0"/>
          <w:numId w:val="1"/>
        </w:numPr>
      </w:pPr>
      <w:r>
        <w:t xml:space="preserve">Report Year Scope 1 Emissions </w:t>
      </w:r>
    </w:p>
    <w:p w14:paraId="5A9488B5" w14:textId="0F4D6B90" w:rsidR="006B1AC7" w:rsidRDefault="006B1AC7" w:rsidP="006B1AC7"/>
    <w:tbl>
      <w:tblPr>
        <w:tblStyle w:val="TableGrid"/>
        <w:tblW w:w="9636" w:type="dxa"/>
        <w:tblInd w:w="-5" w:type="dxa"/>
        <w:tblLook w:val="04A0" w:firstRow="1" w:lastRow="0" w:firstColumn="1" w:lastColumn="0" w:noHBand="0" w:noVBand="1"/>
      </w:tblPr>
      <w:tblGrid>
        <w:gridCol w:w="1927"/>
        <w:gridCol w:w="1927"/>
        <w:gridCol w:w="1927"/>
        <w:gridCol w:w="1927"/>
        <w:gridCol w:w="1928"/>
      </w:tblGrid>
      <w:tr w:rsidR="006B1AC7" w:rsidRPr="006B1AC7" w14:paraId="2C32FFBC" w14:textId="77777777" w:rsidTr="008A6613">
        <w:trPr>
          <w:trHeight w:val="900"/>
        </w:trPr>
        <w:tc>
          <w:tcPr>
            <w:tcW w:w="1927" w:type="dxa"/>
          </w:tcPr>
          <w:p w14:paraId="185E2890" w14:textId="597E0953" w:rsidR="006B1AC7" w:rsidRPr="006B1AC7" w:rsidRDefault="006B1AC7" w:rsidP="006B1AC7">
            <w:pPr>
              <w:rPr>
                <w:b/>
                <w:bCs/>
              </w:rPr>
            </w:pPr>
            <w:r w:rsidRPr="006B1AC7">
              <w:rPr>
                <w:b/>
                <w:bCs/>
              </w:rPr>
              <w:t>Report Year Scope 1 Emissions</w:t>
            </w:r>
          </w:p>
        </w:tc>
        <w:tc>
          <w:tcPr>
            <w:tcW w:w="1927" w:type="dxa"/>
          </w:tcPr>
          <w:p w14:paraId="6F46CB5D" w14:textId="0984A664" w:rsidR="006B1AC7" w:rsidRPr="006B1AC7" w:rsidRDefault="006B1AC7" w:rsidP="006B1AC7">
            <w:pPr>
              <w:rPr>
                <w:b/>
                <w:bCs/>
              </w:rPr>
            </w:pPr>
            <w:r w:rsidRPr="006B1AC7">
              <w:rPr>
                <w:b/>
                <w:bCs/>
              </w:rPr>
              <w:t>Fuel Source</w:t>
            </w:r>
          </w:p>
        </w:tc>
        <w:tc>
          <w:tcPr>
            <w:tcW w:w="1927" w:type="dxa"/>
          </w:tcPr>
          <w:p w14:paraId="09F4B1B0" w14:textId="07F2E820" w:rsidR="006B1AC7" w:rsidRPr="006B1AC7" w:rsidRDefault="006B1AC7" w:rsidP="006B1AC7">
            <w:pPr>
              <w:rPr>
                <w:b/>
                <w:bCs/>
              </w:rPr>
            </w:pPr>
            <w:r w:rsidRPr="006B1AC7">
              <w:rPr>
                <w:b/>
                <w:bCs/>
              </w:rPr>
              <w:t>Volume Unit</w:t>
            </w:r>
          </w:p>
        </w:tc>
        <w:tc>
          <w:tcPr>
            <w:tcW w:w="1927" w:type="dxa"/>
          </w:tcPr>
          <w:p w14:paraId="0B516D01" w14:textId="23A307A5" w:rsidR="006B1AC7" w:rsidRPr="006B1AC7" w:rsidRDefault="006B1AC7" w:rsidP="006B1AC7">
            <w:pPr>
              <w:rPr>
                <w:b/>
                <w:bCs/>
              </w:rPr>
            </w:pPr>
            <w:r w:rsidRPr="006B1AC7">
              <w:rPr>
                <w:b/>
                <w:bCs/>
              </w:rPr>
              <w:t>TCO e</w:t>
            </w:r>
          </w:p>
        </w:tc>
        <w:tc>
          <w:tcPr>
            <w:tcW w:w="1928" w:type="dxa"/>
          </w:tcPr>
          <w:p w14:paraId="4DCF7E74" w14:textId="457BAD54" w:rsidR="006B1AC7" w:rsidRPr="006B1AC7" w:rsidRDefault="006B1AC7" w:rsidP="006B1AC7">
            <w:pPr>
              <w:rPr>
                <w:b/>
                <w:bCs/>
              </w:rPr>
            </w:pPr>
            <w:r w:rsidRPr="006B1AC7">
              <w:rPr>
                <w:b/>
                <w:bCs/>
              </w:rPr>
              <w:t xml:space="preserve">Emissions change v Base Year </w:t>
            </w:r>
          </w:p>
        </w:tc>
      </w:tr>
      <w:tr w:rsidR="006B1AC7" w14:paraId="0D62A521" w14:textId="77777777" w:rsidTr="008A6613">
        <w:trPr>
          <w:trHeight w:val="596"/>
        </w:trPr>
        <w:tc>
          <w:tcPr>
            <w:tcW w:w="1927" w:type="dxa"/>
          </w:tcPr>
          <w:p w14:paraId="3B898FBC" w14:textId="56542C72" w:rsidR="006B1AC7" w:rsidRDefault="006B1AC7" w:rsidP="006B1AC7">
            <w:r>
              <w:t>Heating</w:t>
            </w:r>
          </w:p>
        </w:tc>
        <w:tc>
          <w:tcPr>
            <w:tcW w:w="1927" w:type="dxa"/>
          </w:tcPr>
          <w:p w14:paraId="275C013B" w14:textId="1ECA34DD" w:rsidR="006B1AC7" w:rsidRDefault="006B1AC7" w:rsidP="006B1AC7">
            <w:r>
              <w:t>Natural Gas</w:t>
            </w:r>
          </w:p>
        </w:tc>
        <w:tc>
          <w:tcPr>
            <w:tcW w:w="1927" w:type="dxa"/>
          </w:tcPr>
          <w:p w14:paraId="0FA7F76C" w14:textId="73A747C4" w:rsidR="006B1AC7" w:rsidRDefault="006B1AC7" w:rsidP="006B1AC7">
            <w:r>
              <w:t>4,596,394.00 kWh</w:t>
            </w:r>
          </w:p>
        </w:tc>
        <w:tc>
          <w:tcPr>
            <w:tcW w:w="1927" w:type="dxa"/>
          </w:tcPr>
          <w:p w14:paraId="39CBAC8C" w14:textId="7C472CFB" w:rsidR="006B1AC7" w:rsidRDefault="006B1AC7" w:rsidP="006B1AC7">
            <w:r>
              <w:t>841.88</w:t>
            </w:r>
          </w:p>
        </w:tc>
        <w:tc>
          <w:tcPr>
            <w:tcW w:w="1928" w:type="dxa"/>
          </w:tcPr>
          <w:p w14:paraId="55A7472E" w14:textId="285D0763" w:rsidR="006B1AC7" w:rsidRDefault="006B1AC7" w:rsidP="006B1AC7">
            <w:r>
              <w:t>25%</w:t>
            </w:r>
          </w:p>
        </w:tc>
      </w:tr>
      <w:tr w:rsidR="008A6613" w14:paraId="4A4A3FDB" w14:textId="77777777" w:rsidTr="008A6613">
        <w:trPr>
          <w:trHeight w:val="303"/>
        </w:trPr>
        <w:tc>
          <w:tcPr>
            <w:tcW w:w="1927" w:type="dxa"/>
          </w:tcPr>
          <w:p w14:paraId="1C65884E" w14:textId="1A6383CB" w:rsidR="008A6613" w:rsidRDefault="008A6613" w:rsidP="008A6613">
            <w:r>
              <w:t xml:space="preserve">Transport </w:t>
            </w:r>
          </w:p>
        </w:tc>
        <w:tc>
          <w:tcPr>
            <w:tcW w:w="1927" w:type="dxa"/>
          </w:tcPr>
          <w:p w14:paraId="7E2ADD57" w14:textId="1AE93632" w:rsidR="008A6613" w:rsidRDefault="008A6613" w:rsidP="008A6613">
            <w:r>
              <w:t>Not Applicable</w:t>
            </w:r>
          </w:p>
        </w:tc>
        <w:tc>
          <w:tcPr>
            <w:tcW w:w="1927" w:type="dxa"/>
          </w:tcPr>
          <w:p w14:paraId="4D7A5DF9" w14:textId="5C3ADD03" w:rsidR="008A6613" w:rsidRDefault="008A6613" w:rsidP="008A6613">
            <w:r>
              <w:t>Not Applicable</w:t>
            </w:r>
          </w:p>
        </w:tc>
        <w:tc>
          <w:tcPr>
            <w:tcW w:w="1927" w:type="dxa"/>
          </w:tcPr>
          <w:p w14:paraId="6A73ED99" w14:textId="39AE5A8B" w:rsidR="008A6613" w:rsidRDefault="008A6613" w:rsidP="008A6613">
            <w:r>
              <w:t>Not Applicable</w:t>
            </w:r>
          </w:p>
        </w:tc>
        <w:tc>
          <w:tcPr>
            <w:tcW w:w="1928" w:type="dxa"/>
          </w:tcPr>
          <w:p w14:paraId="7C6F061B" w14:textId="10EEC48E" w:rsidR="008A6613" w:rsidRDefault="008A6613" w:rsidP="008A6613">
            <w:r>
              <w:t>Not Applicable</w:t>
            </w:r>
          </w:p>
        </w:tc>
      </w:tr>
      <w:tr w:rsidR="008A6613" w14:paraId="0C7CF17F" w14:textId="77777777" w:rsidTr="008A6613">
        <w:trPr>
          <w:trHeight w:val="596"/>
        </w:trPr>
        <w:tc>
          <w:tcPr>
            <w:tcW w:w="1927" w:type="dxa"/>
          </w:tcPr>
          <w:p w14:paraId="1D808CC0" w14:textId="18B8D061" w:rsidR="008A6613" w:rsidRDefault="008A6613" w:rsidP="008A6613">
            <w:r>
              <w:t xml:space="preserve">Fugitive Emissions </w:t>
            </w:r>
          </w:p>
        </w:tc>
        <w:tc>
          <w:tcPr>
            <w:tcW w:w="1927" w:type="dxa"/>
          </w:tcPr>
          <w:p w14:paraId="67A47392" w14:textId="3DDCD366" w:rsidR="008A6613" w:rsidRDefault="008A6613" w:rsidP="008A6613">
            <w:r>
              <w:t>Not Applicable</w:t>
            </w:r>
          </w:p>
        </w:tc>
        <w:tc>
          <w:tcPr>
            <w:tcW w:w="1927" w:type="dxa"/>
          </w:tcPr>
          <w:p w14:paraId="2AF28F5E" w14:textId="2874A1E6" w:rsidR="008A6613" w:rsidRDefault="008A6613" w:rsidP="008A6613">
            <w:r>
              <w:t>Not Applicable</w:t>
            </w:r>
          </w:p>
        </w:tc>
        <w:tc>
          <w:tcPr>
            <w:tcW w:w="1927" w:type="dxa"/>
          </w:tcPr>
          <w:p w14:paraId="3672CF22" w14:textId="7C035982" w:rsidR="008A6613" w:rsidRDefault="008A6613" w:rsidP="008A6613">
            <w:r>
              <w:t>Not Applicable</w:t>
            </w:r>
          </w:p>
        </w:tc>
        <w:tc>
          <w:tcPr>
            <w:tcW w:w="1928" w:type="dxa"/>
          </w:tcPr>
          <w:p w14:paraId="6D8117DA" w14:textId="7EDF2661" w:rsidR="008A6613" w:rsidRDefault="008A6613" w:rsidP="008A6613">
            <w:r>
              <w:t>Not Applicable</w:t>
            </w:r>
          </w:p>
        </w:tc>
      </w:tr>
    </w:tbl>
    <w:p w14:paraId="282424B1" w14:textId="06C92792" w:rsidR="006B1AC7" w:rsidRDefault="006B1AC7" w:rsidP="006B1AC7"/>
    <w:p w14:paraId="6DFFC8A7" w14:textId="167C0A76" w:rsidR="008A6613" w:rsidRDefault="008A6613" w:rsidP="008A6613">
      <w:pPr>
        <w:pStyle w:val="Heading2"/>
        <w:numPr>
          <w:ilvl w:val="0"/>
          <w:numId w:val="1"/>
        </w:numPr>
      </w:pPr>
      <w:r>
        <w:t>Report Year Scope 2 Emissions</w:t>
      </w:r>
    </w:p>
    <w:tbl>
      <w:tblPr>
        <w:tblStyle w:val="TableGrid"/>
        <w:tblW w:w="9636" w:type="dxa"/>
        <w:tblInd w:w="-5" w:type="dxa"/>
        <w:tblLook w:val="04A0" w:firstRow="1" w:lastRow="0" w:firstColumn="1" w:lastColumn="0" w:noHBand="0" w:noVBand="1"/>
      </w:tblPr>
      <w:tblGrid>
        <w:gridCol w:w="1927"/>
        <w:gridCol w:w="1927"/>
        <w:gridCol w:w="1927"/>
        <w:gridCol w:w="1927"/>
        <w:gridCol w:w="1928"/>
      </w:tblGrid>
      <w:tr w:rsidR="008A6613" w:rsidRPr="008A6613" w14:paraId="18AE05E0" w14:textId="77777777" w:rsidTr="008C7576">
        <w:trPr>
          <w:trHeight w:val="900"/>
        </w:trPr>
        <w:tc>
          <w:tcPr>
            <w:tcW w:w="1927" w:type="dxa"/>
          </w:tcPr>
          <w:p w14:paraId="6A2ECD74" w14:textId="77777777" w:rsidR="008A6613" w:rsidRPr="008A6613" w:rsidRDefault="008A6613" w:rsidP="008A6613">
            <w:pPr>
              <w:spacing w:after="160" w:line="259" w:lineRule="auto"/>
              <w:rPr>
                <w:b/>
                <w:bCs/>
              </w:rPr>
            </w:pPr>
            <w:r w:rsidRPr="008A6613">
              <w:rPr>
                <w:b/>
                <w:bCs/>
              </w:rPr>
              <w:t>Report Year Scope 1 Emissions</w:t>
            </w:r>
          </w:p>
        </w:tc>
        <w:tc>
          <w:tcPr>
            <w:tcW w:w="1927" w:type="dxa"/>
          </w:tcPr>
          <w:p w14:paraId="208CCF6E" w14:textId="77777777" w:rsidR="008A6613" w:rsidRPr="008A6613" w:rsidRDefault="008A6613" w:rsidP="008A6613">
            <w:pPr>
              <w:spacing w:after="160" w:line="259" w:lineRule="auto"/>
              <w:rPr>
                <w:b/>
                <w:bCs/>
              </w:rPr>
            </w:pPr>
            <w:r w:rsidRPr="008A6613">
              <w:rPr>
                <w:b/>
                <w:bCs/>
              </w:rPr>
              <w:t>Fuel Source</w:t>
            </w:r>
          </w:p>
        </w:tc>
        <w:tc>
          <w:tcPr>
            <w:tcW w:w="1927" w:type="dxa"/>
          </w:tcPr>
          <w:p w14:paraId="54FE8534" w14:textId="77777777" w:rsidR="008A6613" w:rsidRPr="008A6613" w:rsidRDefault="008A6613" w:rsidP="008A6613">
            <w:pPr>
              <w:spacing w:after="160" w:line="259" w:lineRule="auto"/>
              <w:rPr>
                <w:b/>
                <w:bCs/>
              </w:rPr>
            </w:pPr>
            <w:r w:rsidRPr="008A6613">
              <w:rPr>
                <w:b/>
                <w:bCs/>
              </w:rPr>
              <w:t>Volume Unit</w:t>
            </w:r>
          </w:p>
        </w:tc>
        <w:tc>
          <w:tcPr>
            <w:tcW w:w="1927" w:type="dxa"/>
          </w:tcPr>
          <w:p w14:paraId="4348F85A" w14:textId="77777777" w:rsidR="008A6613" w:rsidRPr="008A6613" w:rsidRDefault="008A6613" w:rsidP="008A6613">
            <w:pPr>
              <w:spacing w:after="160" w:line="259" w:lineRule="auto"/>
              <w:rPr>
                <w:b/>
                <w:bCs/>
              </w:rPr>
            </w:pPr>
            <w:r w:rsidRPr="008A6613">
              <w:rPr>
                <w:b/>
                <w:bCs/>
              </w:rPr>
              <w:t>TCO e</w:t>
            </w:r>
          </w:p>
        </w:tc>
        <w:tc>
          <w:tcPr>
            <w:tcW w:w="1928" w:type="dxa"/>
          </w:tcPr>
          <w:p w14:paraId="616C7414" w14:textId="77777777" w:rsidR="008A6613" w:rsidRPr="008A6613" w:rsidRDefault="008A6613" w:rsidP="008A6613">
            <w:pPr>
              <w:spacing w:after="160" w:line="259" w:lineRule="auto"/>
              <w:rPr>
                <w:b/>
                <w:bCs/>
              </w:rPr>
            </w:pPr>
            <w:r w:rsidRPr="008A6613">
              <w:rPr>
                <w:b/>
                <w:bCs/>
              </w:rPr>
              <w:t xml:space="preserve">Emissions change v Base Year </w:t>
            </w:r>
          </w:p>
        </w:tc>
      </w:tr>
      <w:tr w:rsidR="008A6613" w:rsidRPr="008A6613" w14:paraId="243FEBD9" w14:textId="77777777" w:rsidTr="008C7576">
        <w:trPr>
          <w:trHeight w:val="596"/>
        </w:trPr>
        <w:tc>
          <w:tcPr>
            <w:tcW w:w="1927" w:type="dxa"/>
          </w:tcPr>
          <w:p w14:paraId="67241759" w14:textId="57492D6D" w:rsidR="008A6613" w:rsidRPr="008A6613" w:rsidRDefault="008A6613" w:rsidP="008A6613">
            <w:pPr>
              <w:spacing w:after="160" w:line="259" w:lineRule="auto"/>
            </w:pPr>
            <w:r>
              <w:t>Location Based Power</w:t>
            </w:r>
          </w:p>
        </w:tc>
        <w:tc>
          <w:tcPr>
            <w:tcW w:w="1927" w:type="dxa"/>
          </w:tcPr>
          <w:p w14:paraId="6EA09B47" w14:textId="13CC2098" w:rsidR="008A6613" w:rsidRPr="008A6613" w:rsidRDefault="008A6613" w:rsidP="008A6613">
            <w:pPr>
              <w:spacing w:after="160" w:line="259" w:lineRule="auto"/>
            </w:pPr>
            <w:r>
              <w:t>Electricity</w:t>
            </w:r>
          </w:p>
        </w:tc>
        <w:tc>
          <w:tcPr>
            <w:tcW w:w="1927" w:type="dxa"/>
          </w:tcPr>
          <w:p w14:paraId="2271ECDA" w14:textId="36BC70BB" w:rsidR="008A6613" w:rsidRPr="008A6613" w:rsidRDefault="008A6613" w:rsidP="008A6613">
            <w:pPr>
              <w:spacing w:after="160" w:line="259" w:lineRule="auto"/>
            </w:pPr>
            <w:r>
              <w:t>2,500,907</w:t>
            </w:r>
            <w:r w:rsidRPr="008A6613">
              <w:t>.00 kWh</w:t>
            </w:r>
          </w:p>
        </w:tc>
        <w:tc>
          <w:tcPr>
            <w:tcW w:w="1927" w:type="dxa"/>
          </w:tcPr>
          <w:p w14:paraId="07983CFE" w14:textId="3BB34C96" w:rsidR="008A6613" w:rsidRPr="008A6613" w:rsidRDefault="008A6613" w:rsidP="008A6613">
            <w:pPr>
              <w:spacing w:after="160" w:line="259" w:lineRule="auto"/>
            </w:pPr>
            <w:r>
              <w:t>531.02</w:t>
            </w:r>
          </w:p>
        </w:tc>
        <w:tc>
          <w:tcPr>
            <w:tcW w:w="1928" w:type="dxa"/>
          </w:tcPr>
          <w:p w14:paraId="76688EEC" w14:textId="20A51113" w:rsidR="008A6613" w:rsidRPr="008A6613" w:rsidRDefault="008A6613" w:rsidP="008A6613">
            <w:pPr>
              <w:spacing w:after="160" w:line="259" w:lineRule="auto"/>
            </w:pPr>
            <w:r>
              <w:t>-39%</w:t>
            </w:r>
          </w:p>
        </w:tc>
      </w:tr>
      <w:tr w:rsidR="008A6613" w:rsidRPr="008A6613" w14:paraId="039A0CEA" w14:textId="77777777" w:rsidTr="008C7576">
        <w:trPr>
          <w:trHeight w:val="303"/>
        </w:trPr>
        <w:tc>
          <w:tcPr>
            <w:tcW w:w="1927" w:type="dxa"/>
          </w:tcPr>
          <w:p w14:paraId="43479DE7" w14:textId="07205335" w:rsidR="008A6613" w:rsidRPr="008A6613" w:rsidRDefault="008A6613" w:rsidP="008A6613">
            <w:pPr>
              <w:spacing w:after="160" w:line="259" w:lineRule="auto"/>
            </w:pPr>
            <w:r>
              <w:t>Self-Generated Renewable Power</w:t>
            </w:r>
          </w:p>
        </w:tc>
        <w:tc>
          <w:tcPr>
            <w:tcW w:w="1927" w:type="dxa"/>
          </w:tcPr>
          <w:p w14:paraId="2D8177FE" w14:textId="77777777" w:rsidR="008A6613" w:rsidRPr="008A6613" w:rsidRDefault="008A6613" w:rsidP="008A6613">
            <w:pPr>
              <w:spacing w:after="160" w:line="259" w:lineRule="auto"/>
            </w:pPr>
            <w:r w:rsidRPr="008A6613">
              <w:t>Not Applicable</w:t>
            </w:r>
          </w:p>
        </w:tc>
        <w:tc>
          <w:tcPr>
            <w:tcW w:w="1927" w:type="dxa"/>
          </w:tcPr>
          <w:p w14:paraId="5AE51347" w14:textId="77777777" w:rsidR="008A6613" w:rsidRPr="008A6613" w:rsidRDefault="008A6613" w:rsidP="008A6613">
            <w:pPr>
              <w:spacing w:after="160" w:line="259" w:lineRule="auto"/>
            </w:pPr>
            <w:r w:rsidRPr="008A6613">
              <w:t>Not Applicable</w:t>
            </w:r>
          </w:p>
        </w:tc>
        <w:tc>
          <w:tcPr>
            <w:tcW w:w="1927" w:type="dxa"/>
          </w:tcPr>
          <w:p w14:paraId="212179FD" w14:textId="77777777" w:rsidR="008A6613" w:rsidRPr="008A6613" w:rsidRDefault="008A6613" w:rsidP="008A6613">
            <w:pPr>
              <w:spacing w:after="160" w:line="259" w:lineRule="auto"/>
            </w:pPr>
            <w:r w:rsidRPr="008A6613">
              <w:t>Not Applicable</w:t>
            </w:r>
          </w:p>
        </w:tc>
        <w:tc>
          <w:tcPr>
            <w:tcW w:w="1928" w:type="dxa"/>
          </w:tcPr>
          <w:p w14:paraId="1C51A7AB" w14:textId="77777777" w:rsidR="008A6613" w:rsidRPr="008A6613" w:rsidRDefault="008A6613" w:rsidP="008A6613">
            <w:pPr>
              <w:spacing w:after="160" w:line="259" w:lineRule="auto"/>
            </w:pPr>
            <w:r w:rsidRPr="008A6613">
              <w:t>Not Applicable</w:t>
            </w:r>
          </w:p>
        </w:tc>
      </w:tr>
    </w:tbl>
    <w:p w14:paraId="2FAA13EE" w14:textId="430C75AD" w:rsidR="008A6613" w:rsidRDefault="008A6613" w:rsidP="008A6613">
      <w:pPr>
        <w:pStyle w:val="Heading2"/>
        <w:numPr>
          <w:ilvl w:val="0"/>
          <w:numId w:val="1"/>
        </w:numPr>
      </w:pPr>
      <w:r>
        <w:lastRenderedPageBreak/>
        <w:t>Report Year Scope 3 Emissions</w:t>
      </w:r>
    </w:p>
    <w:p w14:paraId="500B4C7B" w14:textId="5C81F455" w:rsidR="008A6613" w:rsidRDefault="008A6613" w:rsidP="008A6613"/>
    <w:p w14:paraId="00873F11" w14:textId="356D2AD8" w:rsidR="008A6613" w:rsidRDefault="008A6613" w:rsidP="008A6613">
      <w:r>
        <w:t>Gross TCO2e pre offset – 1,372.89 TCO e and -11% Emissions change v Base Year</w:t>
      </w:r>
    </w:p>
    <w:p w14:paraId="38116BED" w14:textId="0F662A35" w:rsidR="008F0263" w:rsidRDefault="008F0263" w:rsidP="008A6613"/>
    <w:p w14:paraId="5D6DF530" w14:textId="1C4B9EBF" w:rsidR="008F0263" w:rsidRDefault="008F0263" w:rsidP="008F0263">
      <w:pPr>
        <w:pStyle w:val="Heading2"/>
        <w:numPr>
          <w:ilvl w:val="0"/>
          <w:numId w:val="1"/>
        </w:numPr>
      </w:pPr>
      <w:r>
        <w:t>Offsets</w:t>
      </w:r>
    </w:p>
    <w:p w14:paraId="1C15CE85" w14:textId="77777777" w:rsidR="008F0263" w:rsidRPr="008F0263" w:rsidRDefault="008F0263" w:rsidP="008F0263"/>
    <w:p w14:paraId="4C692794" w14:textId="096CADD4" w:rsidR="008A6613" w:rsidRDefault="008A6613" w:rsidP="008A6613">
      <w:r>
        <w:t xml:space="preserve">Net TCO e – </w:t>
      </w:r>
      <w:r w:rsidRPr="008A6613">
        <w:t>1,372.89 TCO e and -11% Emissions change v Base Year</w:t>
      </w:r>
    </w:p>
    <w:p w14:paraId="0267F448" w14:textId="77777777" w:rsidR="008A6613" w:rsidRDefault="008A6613" w:rsidP="008A6613"/>
    <w:p w14:paraId="519AF67B" w14:textId="3EF72031" w:rsidR="008A6613" w:rsidRDefault="00230260" w:rsidP="00230260">
      <w:pPr>
        <w:pStyle w:val="Heading2"/>
        <w:numPr>
          <w:ilvl w:val="0"/>
          <w:numId w:val="1"/>
        </w:numPr>
      </w:pPr>
      <w:r>
        <w:t>Report Year</w:t>
      </w:r>
    </w:p>
    <w:p w14:paraId="299ABFCF" w14:textId="30BD3108" w:rsidR="00230260" w:rsidRDefault="00230260" w:rsidP="00230260"/>
    <w:tbl>
      <w:tblPr>
        <w:tblStyle w:val="TableGrid"/>
        <w:tblW w:w="0" w:type="auto"/>
        <w:tblLook w:val="04A0" w:firstRow="1" w:lastRow="0" w:firstColumn="1" w:lastColumn="0" w:noHBand="0" w:noVBand="1"/>
      </w:tblPr>
      <w:tblGrid>
        <w:gridCol w:w="1803"/>
        <w:gridCol w:w="1803"/>
        <w:gridCol w:w="1803"/>
        <w:gridCol w:w="1803"/>
        <w:gridCol w:w="1804"/>
      </w:tblGrid>
      <w:tr w:rsidR="00230260" w:rsidRPr="00230260" w14:paraId="39B5CCC6" w14:textId="77777777" w:rsidTr="00230260">
        <w:tc>
          <w:tcPr>
            <w:tcW w:w="1803" w:type="dxa"/>
          </w:tcPr>
          <w:p w14:paraId="09425003" w14:textId="5BE1AF70" w:rsidR="00230260" w:rsidRPr="00230260" w:rsidRDefault="00230260" w:rsidP="00230260">
            <w:pPr>
              <w:rPr>
                <w:b/>
                <w:bCs/>
              </w:rPr>
            </w:pPr>
            <w:r w:rsidRPr="00230260">
              <w:rPr>
                <w:b/>
                <w:bCs/>
              </w:rPr>
              <w:t>Energy Intensity Ratios(S1&amp;2)</w:t>
            </w:r>
          </w:p>
        </w:tc>
        <w:tc>
          <w:tcPr>
            <w:tcW w:w="1803" w:type="dxa"/>
          </w:tcPr>
          <w:p w14:paraId="5004391D" w14:textId="016C3B24" w:rsidR="00230260" w:rsidRPr="00230260" w:rsidRDefault="00230260" w:rsidP="00230260">
            <w:pPr>
              <w:rPr>
                <w:b/>
                <w:bCs/>
              </w:rPr>
            </w:pPr>
            <w:r w:rsidRPr="00230260">
              <w:rPr>
                <w:b/>
                <w:bCs/>
              </w:rPr>
              <w:t xml:space="preserve">Quantity </w:t>
            </w:r>
          </w:p>
        </w:tc>
        <w:tc>
          <w:tcPr>
            <w:tcW w:w="1803" w:type="dxa"/>
          </w:tcPr>
          <w:p w14:paraId="4D0FE5F3" w14:textId="7197803C" w:rsidR="00230260" w:rsidRPr="00230260" w:rsidRDefault="00230260" w:rsidP="00230260">
            <w:pPr>
              <w:rPr>
                <w:b/>
                <w:bCs/>
              </w:rPr>
            </w:pPr>
            <w:r w:rsidRPr="00230260">
              <w:rPr>
                <w:b/>
                <w:bCs/>
              </w:rPr>
              <w:t>kWh’s / Unit</w:t>
            </w:r>
          </w:p>
        </w:tc>
        <w:tc>
          <w:tcPr>
            <w:tcW w:w="1803" w:type="dxa"/>
          </w:tcPr>
          <w:p w14:paraId="75F58200" w14:textId="6E3EFA94" w:rsidR="00230260" w:rsidRPr="00230260" w:rsidRDefault="00230260" w:rsidP="00230260">
            <w:pPr>
              <w:rPr>
                <w:b/>
                <w:bCs/>
              </w:rPr>
            </w:pPr>
            <w:r w:rsidRPr="00230260">
              <w:rPr>
                <w:b/>
                <w:bCs/>
              </w:rPr>
              <w:t>TCO2e / Unit</w:t>
            </w:r>
          </w:p>
        </w:tc>
        <w:tc>
          <w:tcPr>
            <w:tcW w:w="1804" w:type="dxa"/>
          </w:tcPr>
          <w:p w14:paraId="66893B53" w14:textId="17849F18" w:rsidR="00230260" w:rsidRPr="00230260" w:rsidRDefault="00230260" w:rsidP="00230260">
            <w:pPr>
              <w:rPr>
                <w:b/>
                <w:bCs/>
              </w:rPr>
            </w:pPr>
            <w:r w:rsidRPr="00230260">
              <w:rPr>
                <w:b/>
                <w:bCs/>
              </w:rPr>
              <w:t>Emission change v Base Year</w:t>
            </w:r>
          </w:p>
        </w:tc>
      </w:tr>
      <w:tr w:rsidR="00230260" w14:paraId="69AF1A1F" w14:textId="77777777" w:rsidTr="00230260">
        <w:tc>
          <w:tcPr>
            <w:tcW w:w="1803" w:type="dxa"/>
          </w:tcPr>
          <w:p w14:paraId="0E7D97CE" w14:textId="0F1ABC00" w:rsidR="00230260" w:rsidRDefault="00230260" w:rsidP="00230260">
            <w:r>
              <w:t>Floor Area</w:t>
            </w:r>
          </w:p>
        </w:tc>
        <w:tc>
          <w:tcPr>
            <w:tcW w:w="1803" w:type="dxa"/>
          </w:tcPr>
          <w:p w14:paraId="03358571" w14:textId="6FB9C8DF" w:rsidR="00230260" w:rsidRDefault="00230260" w:rsidP="00230260">
            <w:r>
              <w:t>49,830</w:t>
            </w:r>
          </w:p>
        </w:tc>
        <w:tc>
          <w:tcPr>
            <w:tcW w:w="1803" w:type="dxa"/>
          </w:tcPr>
          <w:p w14:paraId="374CFE18" w14:textId="381ECE4F" w:rsidR="00230260" w:rsidRDefault="00230260" w:rsidP="00230260">
            <w:r>
              <w:t>142.43</w:t>
            </w:r>
          </w:p>
        </w:tc>
        <w:tc>
          <w:tcPr>
            <w:tcW w:w="1803" w:type="dxa"/>
          </w:tcPr>
          <w:p w14:paraId="1FBCA17C" w14:textId="6148D9D5" w:rsidR="00230260" w:rsidRDefault="00230260" w:rsidP="00230260">
            <w:r>
              <w:t>0.02755</w:t>
            </w:r>
          </w:p>
        </w:tc>
        <w:tc>
          <w:tcPr>
            <w:tcW w:w="1804" w:type="dxa"/>
          </w:tcPr>
          <w:p w14:paraId="228BD675" w14:textId="1D45F881" w:rsidR="00230260" w:rsidRDefault="00230260" w:rsidP="00230260">
            <w:r>
              <w:t>-4%</w:t>
            </w:r>
          </w:p>
        </w:tc>
      </w:tr>
      <w:tr w:rsidR="00230260" w14:paraId="54D0C42A" w14:textId="77777777" w:rsidTr="00230260">
        <w:tc>
          <w:tcPr>
            <w:tcW w:w="1803" w:type="dxa"/>
          </w:tcPr>
          <w:p w14:paraId="7D8A0C5F" w14:textId="51836916" w:rsidR="00230260" w:rsidRDefault="00230260" w:rsidP="00230260">
            <w:r>
              <w:t>Staff FTE</w:t>
            </w:r>
          </w:p>
        </w:tc>
        <w:tc>
          <w:tcPr>
            <w:tcW w:w="1803" w:type="dxa"/>
          </w:tcPr>
          <w:p w14:paraId="3409950B" w14:textId="22A77387" w:rsidR="00230260" w:rsidRDefault="00230260" w:rsidP="00230260">
            <w:r>
              <w:t>Not Applicable</w:t>
            </w:r>
          </w:p>
        </w:tc>
        <w:tc>
          <w:tcPr>
            <w:tcW w:w="1803" w:type="dxa"/>
          </w:tcPr>
          <w:p w14:paraId="6EA79CA3" w14:textId="19FB2227" w:rsidR="00230260" w:rsidRDefault="00230260" w:rsidP="00230260">
            <w:r>
              <w:t>Not Applicable</w:t>
            </w:r>
          </w:p>
        </w:tc>
        <w:tc>
          <w:tcPr>
            <w:tcW w:w="1803" w:type="dxa"/>
          </w:tcPr>
          <w:p w14:paraId="2F310AA8" w14:textId="0E3166FC" w:rsidR="00230260" w:rsidRDefault="00230260" w:rsidP="00230260">
            <w:r>
              <w:t>Not Applicable</w:t>
            </w:r>
          </w:p>
        </w:tc>
        <w:tc>
          <w:tcPr>
            <w:tcW w:w="1804" w:type="dxa"/>
          </w:tcPr>
          <w:p w14:paraId="0772A92C" w14:textId="2BB6E42E" w:rsidR="00230260" w:rsidRDefault="00230260" w:rsidP="00230260">
            <w:r>
              <w:t>Not Applicable</w:t>
            </w:r>
          </w:p>
        </w:tc>
      </w:tr>
      <w:tr w:rsidR="00230260" w14:paraId="2B338C78" w14:textId="77777777" w:rsidTr="00230260">
        <w:tc>
          <w:tcPr>
            <w:tcW w:w="1803" w:type="dxa"/>
          </w:tcPr>
          <w:p w14:paraId="68026E86" w14:textId="2C83A6D5" w:rsidR="00230260" w:rsidRDefault="00230260" w:rsidP="00230260">
            <w:r>
              <w:t>Student FTE</w:t>
            </w:r>
          </w:p>
        </w:tc>
        <w:tc>
          <w:tcPr>
            <w:tcW w:w="1803" w:type="dxa"/>
          </w:tcPr>
          <w:p w14:paraId="405700C4" w14:textId="09CD6ACF" w:rsidR="00230260" w:rsidRDefault="00230260" w:rsidP="00230260">
            <w:r>
              <w:t>10,957</w:t>
            </w:r>
          </w:p>
        </w:tc>
        <w:tc>
          <w:tcPr>
            <w:tcW w:w="1803" w:type="dxa"/>
          </w:tcPr>
          <w:p w14:paraId="64C5433B" w14:textId="37182DAC" w:rsidR="00230260" w:rsidRDefault="00230260" w:rsidP="00230260">
            <w:r>
              <w:t>647.74</w:t>
            </w:r>
          </w:p>
        </w:tc>
        <w:tc>
          <w:tcPr>
            <w:tcW w:w="1803" w:type="dxa"/>
          </w:tcPr>
          <w:p w14:paraId="7EB11B13" w14:textId="5F3A1F68" w:rsidR="00230260" w:rsidRDefault="00230260" w:rsidP="00230260">
            <w:r>
              <w:t>0.12530</w:t>
            </w:r>
          </w:p>
        </w:tc>
        <w:tc>
          <w:tcPr>
            <w:tcW w:w="1804" w:type="dxa"/>
          </w:tcPr>
          <w:p w14:paraId="6B68B6A3" w14:textId="7EC00976" w:rsidR="00230260" w:rsidRDefault="00230260" w:rsidP="00230260">
            <w:r>
              <w:t>-3%</w:t>
            </w:r>
          </w:p>
        </w:tc>
      </w:tr>
      <w:tr w:rsidR="00230260" w14:paraId="698BA486" w14:textId="77777777" w:rsidTr="00230260">
        <w:tc>
          <w:tcPr>
            <w:tcW w:w="1803" w:type="dxa"/>
          </w:tcPr>
          <w:p w14:paraId="73A097CE" w14:textId="3D5A4926" w:rsidR="00230260" w:rsidRDefault="00230260" w:rsidP="00230260">
            <w:r>
              <w:t>Number of Staff</w:t>
            </w:r>
          </w:p>
        </w:tc>
        <w:tc>
          <w:tcPr>
            <w:tcW w:w="1803" w:type="dxa"/>
          </w:tcPr>
          <w:p w14:paraId="72ECAD39" w14:textId="311DCF09" w:rsidR="00230260" w:rsidRDefault="00230260" w:rsidP="00230260">
            <w:r>
              <w:t>Not Applicable</w:t>
            </w:r>
          </w:p>
        </w:tc>
        <w:tc>
          <w:tcPr>
            <w:tcW w:w="1803" w:type="dxa"/>
          </w:tcPr>
          <w:p w14:paraId="7CBE596A" w14:textId="2CAD206A" w:rsidR="00230260" w:rsidRDefault="00230260" w:rsidP="00230260">
            <w:r>
              <w:t>Not Applicable</w:t>
            </w:r>
          </w:p>
        </w:tc>
        <w:tc>
          <w:tcPr>
            <w:tcW w:w="1803" w:type="dxa"/>
          </w:tcPr>
          <w:p w14:paraId="2D794580" w14:textId="4AEBFBC2" w:rsidR="00230260" w:rsidRDefault="00230260" w:rsidP="00230260">
            <w:r>
              <w:t>Not Applicable</w:t>
            </w:r>
          </w:p>
        </w:tc>
        <w:tc>
          <w:tcPr>
            <w:tcW w:w="1804" w:type="dxa"/>
          </w:tcPr>
          <w:p w14:paraId="206BFB12" w14:textId="3D2E51CF" w:rsidR="00230260" w:rsidRDefault="00230260" w:rsidP="00230260">
            <w:r>
              <w:t>Not Applicable</w:t>
            </w:r>
          </w:p>
        </w:tc>
      </w:tr>
    </w:tbl>
    <w:p w14:paraId="650EC8A9" w14:textId="350544D9" w:rsidR="00230260" w:rsidRDefault="00230260" w:rsidP="00230260"/>
    <w:tbl>
      <w:tblPr>
        <w:tblStyle w:val="TableGrid"/>
        <w:tblW w:w="0" w:type="auto"/>
        <w:tblLook w:val="04A0" w:firstRow="1" w:lastRow="0" w:firstColumn="1" w:lastColumn="0" w:noHBand="0" w:noVBand="1"/>
      </w:tblPr>
      <w:tblGrid>
        <w:gridCol w:w="2254"/>
        <w:gridCol w:w="2254"/>
        <w:gridCol w:w="2254"/>
        <w:gridCol w:w="2254"/>
      </w:tblGrid>
      <w:tr w:rsidR="00230260" w:rsidRPr="00230260" w14:paraId="27319FF2" w14:textId="77777777" w:rsidTr="00230260">
        <w:tc>
          <w:tcPr>
            <w:tcW w:w="2254" w:type="dxa"/>
          </w:tcPr>
          <w:p w14:paraId="11ADBF85" w14:textId="6EF0BFB9" w:rsidR="00230260" w:rsidRPr="00230260" w:rsidRDefault="00230260" w:rsidP="00230260">
            <w:pPr>
              <w:rPr>
                <w:b/>
                <w:bCs/>
              </w:rPr>
            </w:pPr>
            <w:r w:rsidRPr="00230260">
              <w:rPr>
                <w:b/>
                <w:bCs/>
              </w:rPr>
              <w:t>Transport Intensity Ratios (S1&amp;2)</w:t>
            </w:r>
          </w:p>
        </w:tc>
        <w:tc>
          <w:tcPr>
            <w:tcW w:w="2254" w:type="dxa"/>
          </w:tcPr>
          <w:p w14:paraId="5198FBE1" w14:textId="7888424E" w:rsidR="00230260" w:rsidRPr="00230260" w:rsidRDefault="00230260" w:rsidP="00230260">
            <w:pPr>
              <w:rPr>
                <w:b/>
                <w:bCs/>
              </w:rPr>
            </w:pPr>
            <w:r w:rsidRPr="00230260">
              <w:rPr>
                <w:b/>
                <w:bCs/>
              </w:rPr>
              <w:t xml:space="preserve">Quantity </w:t>
            </w:r>
          </w:p>
        </w:tc>
        <w:tc>
          <w:tcPr>
            <w:tcW w:w="2254" w:type="dxa"/>
          </w:tcPr>
          <w:p w14:paraId="7503B7CF" w14:textId="18249721" w:rsidR="00230260" w:rsidRPr="00230260" w:rsidRDefault="00230260" w:rsidP="00230260">
            <w:pPr>
              <w:rPr>
                <w:b/>
                <w:bCs/>
              </w:rPr>
            </w:pPr>
            <w:r w:rsidRPr="00230260">
              <w:rPr>
                <w:b/>
                <w:bCs/>
              </w:rPr>
              <w:t>kWh’s / Unit</w:t>
            </w:r>
          </w:p>
        </w:tc>
        <w:tc>
          <w:tcPr>
            <w:tcW w:w="2254" w:type="dxa"/>
          </w:tcPr>
          <w:p w14:paraId="2AAF6E92" w14:textId="08AEAA1A" w:rsidR="00230260" w:rsidRPr="00230260" w:rsidRDefault="00230260" w:rsidP="00230260">
            <w:pPr>
              <w:rPr>
                <w:b/>
                <w:bCs/>
              </w:rPr>
            </w:pPr>
            <w:r w:rsidRPr="00230260">
              <w:rPr>
                <w:b/>
                <w:bCs/>
              </w:rPr>
              <w:t>TCO2e /Unit</w:t>
            </w:r>
          </w:p>
        </w:tc>
      </w:tr>
      <w:tr w:rsidR="00230260" w14:paraId="13E8E074" w14:textId="77777777" w:rsidTr="00230260">
        <w:tc>
          <w:tcPr>
            <w:tcW w:w="2254" w:type="dxa"/>
          </w:tcPr>
          <w:p w14:paraId="35D1D6A4" w14:textId="5382F36F" w:rsidR="00230260" w:rsidRDefault="00230260" w:rsidP="00230260">
            <w:r>
              <w:t>Miles</w:t>
            </w:r>
          </w:p>
        </w:tc>
        <w:tc>
          <w:tcPr>
            <w:tcW w:w="2254" w:type="dxa"/>
          </w:tcPr>
          <w:p w14:paraId="4E240F3E" w14:textId="6F825D3D" w:rsidR="00230260" w:rsidRDefault="00230260" w:rsidP="00230260">
            <w:r>
              <w:t>27,18.00</w:t>
            </w:r>
          </w:p>
        </w:tc>
        <w:tc>
          <w:tcPr>
            <w:tcW w:w="2254" w:type="dxa"/>
          </w:tcPr>
          <w:p w14:paraId="5869AA2B" w14:textId="37315B53" w:rsidR="00230260" w:rsidRDefault="00230260" w:rsidP="00230260">
            <w:r>
              <w:t>Not Applicable</w:t>
            </w:r>
          </w:p>
        </w:tc>
        <w:tc>
          <w:tcPr>
            <w:tcW w:w="2254" w:type="dxa"/>
          </w:tcPr>
          <w:p w14:paraId="68B21BFE" w14:textId="5F32343B" w:rsidR="00230260" w:rsidRDefault="00230260" w:rsidP="00230260">
            <w:r>
              <w:t>Not Applicable</w:t>
            </w:r>
          </w:p>
        </w:tc>
      </w:tr>
      <w:tr w:rsidR="00230260" w14:paraId="5C2DD6BB" w14:textId="77777777" w:rsidTr="00230260">
        <w:tc>
          <w:tcPr>
            <w:tcW w:w="2254" w:type="dxa"/>
          </w:tcPr>
          <w:p w14:paraId="67F77B4F" w14:textId="4AEBB5C1" w:rsidR="00230260" w:rsidRDefault="00230260" w:rsidP="00230260">
            <w:r>
              <w:t>Per Vehicle</w:t>
            </w:r>
          </w:p>
        </w:tc>
        <w:tc>
          <w:tcPr>
            <w:tcW w:w="2254" w:type="dxa"/>
          </w:tcPr>
          <w:p w14:paraId="1C42763E" w14:textId="4FA89590" w:rsidR="00230260" w:rsidRDefault="00230260" w:rsidP="00230260">
            <w:r>
              <w:t>9</w:t>
            </w:r>
          </w:p>
        </w:tc>
        <w:tc>
          <w:tcPr>
            <w:tcW w:w="2254" w:type="dxa"/>
          </w:tcPr>
          <w:p w14:paraId="3CBEFB9F" w14:textId="33390BA7" w:rsidR="00230260" w:rsidRDefault="00230260" w:rsidP="00230260">
            <w:r>
              <w:t>Not Applicable</w:t>
            </w:r>
          </w:p>
        </w:tc>
        <w:tc>
          <w:tcPr>
            <w:tcW w:w="2254" w:type="dxa"/>
          </w:tcPr>
          <w:p w14:paraId="05C7C71A" w14:textId="69D90D1C" w:rsidR="00230260" w:rsidRDefault="00230260" w:rsidP="00230260">
            <w:r>
              <w:t>Not Applicable</w:t>
            </w:r>
          </w:p>
        </w:tc>
      </w:tr>
    </w:tbl>
    <w:p w14:paraId="262EF9B9" w14:textId="76B96490" w:rsidR="00230260" w:rsidRDefault="00230260" w:rsidP="00230260"/>
    <w:p w14:paraId="4153D269" w14:textId="241D95A4" w:rsidR="00230260" w:rsidRPr="00230260" w:rsidRDefault="00230260" w:rsidP="00230260">
      <w:r w:rsidRPr="00230260">
        <w:t>Jointly created by Hillside Environmental Services and the EAUC, this tool is freely available for EAUC Members to help them meet their Environmental disclosure and Carbon reporting (SECR) obligations and start their Journey along the Climate Action Roadmap</w:t>
      </w:r>
    </w:p>
    <w:sectPr w:rsidR="00230260" w:rsidRPr="00230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F60D0"/>
    <w:multiLevelType w:val="hybridMultilevel"/>
    <w:tmpl w:val="4EAA6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AC7"/>
    <w:rsid w:val="00230260"/>
    <w:rsid w:val="006B1AC7"/>
    <w:rsid w:val="008A6613"/>
    <w:rsid w:val="008F0263"/>
    <w:rsid w:val="00C32EAA"/>
    <w:rsid w:val="00CD1B7A"/>
    <w:rsid w:val="00FC1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3FBE"/>
  <w15:chartTrackingRefBased/>
  <w15:docId w15:val="{82B967A7-1BED-45DE-B5E3-F9B261AC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AC7"/>
    <w:rPr>
      <w:rFonts w:ascii="Arial" w:hAnsi="Arial"/>
      <w:sz w:val="24"/>
    </w:rPr>
  </w:style>
  <w:style w:type="paragraph" w:styleId="Heading1">
    <w:name w:val="heading 1"/>
    <w:basedOn w:val="Normal"/>
    <w:next w:val="Normal"/>
    <w:link w:val="Heading1Char"/>
    <w:uiPriority w:val="9"/>
    <w:qFormat/>
    <w:rsid w:val="006B1AC7"/>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6B1AC7"/>
    <w:pPr>
      <w:keepNext/>
      <w:keepLines/>
      <w:spacing w:before="40" w:after="0"/>
      <w:outlineLvl w:val="1"/>
    </w:pPr>
    <w:rPr>
      <w:rFonts w:eastAsiaTheme="majorEastAsia" w:cstheme="majorBidi"/>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AC7"/>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6B1AC7"/>
    <w:rPr>
      <w:rFonts w:ascii="Arial" w:eastAsiaTheme="majorEastAsia" w:hAnsi="Arial" w:cstheme="majorBidi"/>
      <w:sz w:val="28"/>
      <w:szCs w:val="26"/>
    </w:rPr>
  </w:style>
  <w:style w:type="table" w:styleId="TableGrid">
    <w:name w:val="Table Grid"/>
    <w:basedOn w:val="TableNormal"/>
    <w:uiPriority w:val="39"/>
    <w:rsid w:val="006B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3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Moss</dc:creator>
  <cp:keywords/>
  <dc:description/>
  <cp:lastModifiedBy>Morgan Moss</cp:lastModifiedBy>
  <cp:revision>1</cp:revision>
  <dcterms:created xsi:type="dcterms:W3CDTF">2025-02-03T13:48:00Z</dcterms:created>
  <dcterms:modified xsi:type="dcterms:W3CDTF">2025-02-03T15:16:00Z</dcterms:modified>
</cp:coreProperties>
</file>