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039DA" w14:textId="4E7F094B" w:rsidR="00BA7235" w:rsidRPr="00704E10" w:rsidRDefault="00BA7235" w:rsidP="00F34E97">
      <w:pPr>
        <w:spacing w:line="240" w:lineRule="auto"/>
        <w:rPr>
          <w:b/>
          <w:bCs/>
          <w:color w:val="auto"/>
          <w:sz w:val="22"/>
          <w:szCs w:val="22"/>
        </w:rPr>
      </w:pPr>
    </w:p>
    <w:p w14:paraId="15D39C79" w14:textId="77777777" w:rsidR="00BA7235" w:rsidRPr="00704E10" w:rsidRDefault="00BA7235" w:rsidP="00F34E97">
      <w:pPr>
        <w:spacing w:line="240" w:lineRule="auto"/>
        <w:rPr>
          <w:b/>
          <w:bCs/>
          <w:color w:val="auto"/>
          <w:sz w:val="22"/>
          <w:szCs w:val="22"/>
        </w:rPr>
      </w:pPr>
    </w:p>
    <w:p w14:paraId="201C19CF" w14:textId="77777777" w:rsidR="000423B1" w:rsidRPr="000423B1" w:rsidRDefault="00F34E97" w:rsidP="000423B1">
      <w:pPr>
        <w:pStyle w:val="Heading1"/>
        <w:rPr>
          <w:sz w:val="24"/>
          <w:szCs w:val="24"/>
        </w:rPr>
      </w:pPr>
      <w:bookmarkStart w:id="0" w:name="_GoBack"/>
      <w:r w:rsidRPr="000423B1">
        <w:rPr>
          <w:sz w:val="24"/>
          <w:szCs w:val="24"/>
        </w:rPr>
        <w:t>F</w:t>
      </w:r>
      <w:r w:rsidR="000423B1" w:rsidRPr="000423B1">
        <w:rPr>
          <w:sz w:val="24"/>
          <w:szCs w:val="24"/>
        </w:rPr>
        <w:t>inance and Resources Committee – Terms of Reference</w:t>
      </w:r>
    </w:p>
    <w:p w14:paraId="48D88A98" w14:textId="44F5ADDF" w:rsidR="00F34E97" w:rsidRPr="000423B1" w:rsidRDefault="00F34E97" w:rsidP="000423B1">
      <w:pPr>
        <w:pStyle w:val="Heading1"/>
        <w:rPr>
          <w:sz w:val="24"/>
          <w:szCs w:val="24"/>
        </w:rPr>
      </w:pPr>
      <w:proofErr w:type="spellStart"/>
      <w:r w:rsidRPr="000423B1">
        <w:rPr>
          <w:sz w:val="24"/>
          <w:szCs w:val="24"/>
        </w:rPr>
        <w:t>Reference</w:t>
      </w:r>
      <w:proofErr w:type="spellEnd"/>
      <w:r w:rsidRPr="000423B1">
        <w:rPr>
          <w:sz w:val="24"/>
          <w:szCs w:val="24"/>
        </w:rPr>
        <w:t xml:space="preserve"> should also be made to the Standing Orders and Financial Regulations)</w:t>
      </w:r>
    </w:p>
    <w:p w14:paraId="3E1B8C7E" w14:textId="77777777" w:rsidR="00F34E97" w:rsidRPr="000423B1" w:rsidRDefault="00F34E97" w:rsidP="00F34E97">
      <w:pPr>
        <w:spacing w:line="240" w:lineRule="auto"/>
        <w:rPr>
          <w:color w:val="auto"/>
        </w:rPr>
      </w:pPr>
    </w:p>
    <w:p w14:paraId="1D25C927" w14:textId="77777777" w:rsidR="00F34E97" w:rsidRPr="000423B1" w:rsidRDefault="00F34E97" w:rsidP="00C809B8">
      <w:pPr>
        <w:pStyle w:val="Heading2"/>
        <w:rPr>
          <w:sz w:val="24"/>
          <w:szCs w:val="24"/>
        </w:rPr>
      </w:pPr>
      <w:r w:rsidRPr="000423B1">
        <w:rPr>
          <w:sz w:val="24"/>
          <w:szCs w:val="24"/>
        </w:rPr>
        <w:t>1.</w:t>
      </w:r>
      <w:r w:rsidRPr="000423B1">
        <w:rPr>
          <w:sz w:val="24"/>
          <w:szCs w:val="24"/>
        </w:rPr>
        <w:tab/>
        <w:t>Constitution</w:t>
      </w:r>
    </w:p>
    <w:p w14:paraId="4DA2A22D" w14:textId="77777777" w:rsidR="00F34E97" w:rsidRPr="000423B1" w:rsidRDefault="00F34E97" w:rsidP="00F34E97">
      <w:pPr>
        <w:spacing w:line="240" w:lineRule="auto"/>
        <w:rPr>
          <w:color w:val="auto"/>
        </w:rPr>
      </w:pPr>
    </w:p>
    <w:p w14:paraId="73347D59" w14:textId="77777777" w:rsidR="00F34E97" w:rsidRPr="000423B1" w:rsidRDefault="00F34E97" w:rsidP="00704E10">
      <w:pPr>
        <w:spacing w:line="240" w:lineRule="auto"/>
        <w:ind w:left="709" w:hanging="720"/>
        <w:rPr>
          <w:color w:val="auto"/>
        </w:rPr>
      </w:pPr>
      <w:r w:rsidRPr="000423B1">
        <w:rPr>
          <w:color w:val="auto"/>
        </w:rPr>
        <w:t>1.1.</w:t>
      </w:r>
      <w:r w:rsidRPr="000423B1">
        <w:rPr>
          <w:color w:val="auto"/>
        </w:rPr>
        <w:tab/>
        <w:t>A minimum of 5 and up to 8 members (other than student members), of whom 1 to be the College Principal, plus up to one co-opted member with relevant experience, as required.</w:t>
      </w:r>
    </w:p>
    <w:p w14:paraId="3FB9B9D7" w14:textId="77777777" w:rsidR="00F34E97" w:rsidRPr="000423B1" w:rsidRDefault="00F34E97" w:rsidP="00704E10">
      <w:pPr>
        <w:spacing w:line="240" w:lineRule="auto"/>
        <w:ind w:left="709"/>
        <w:rPr>
          <w:color w:val="auto"/>
        </w:rPr>
      </w:pPr>
    </w:p>
    <w:p w14:paraId="531B4658" w14:textId="77777777" w:rsidR="00F34E97" w:rsidRPr="000423B1" w:rsidRDefault="00F34E97" w:rsidP="00704E10">
      <w:pPr>
        <w:spacing w:line="240" w:lineRule="auto"/>
        <w:ind w:left="709" w:hanging="720"/>
        <w:rPr>
          <w:color w:val="auto"/>
        </w:rPr>
      </w:pPr>
      <w:r w:rsidRPr="000423B1">
        <w:rPr>
          <w:color w:val="auto"/>
        </w:rPr>
        <w:t>1.2.</w:t>
      </w:r>
      <w:r w:rsidRPr="000423B1">
        <w:rPr>
          <w:color w:val="auto"/>
        </w:rPr>
        <w:tab/>
        <w:t>Senior staff responsible for financial and property policy and functions to attend and present information to the Committee as appropriate.</w:t>
      </w:r>
    </w:p>
    <w:p w14:paraId="5866849F" w14:textId="77777777" w:rsidR="00F34E97" w:rsidRPr="000423B1" w:rsidRDefault="00F34E97" w:rsidP="00704E10">
      <w:pPr>
        <w:spacing w:line="240" w:lineRule="auto"/>
        <w:ind w:left="709"/>
        <w:rPr>
          <w:color w:val="auto"/>
        </w:rPr>
      </w:pPr>
    </w:p>
    <w:p w14:paraId="6FFA9BC1" w14:textId="5B3B5926" w:rsidR="00F34E97" w:rsidRPr="000423B1" w:rsidRDefault="00F34E97" w:rsidP="00704E10">
      <w:pPr>
        <w:spacing w:line="240" w:lineRule="auto"/>
        <w:ind w:left="709" w:hanging="720"/>
        <w:rPr>
          <w:color w:val="auto"/>
        </w:rPr>
      </w:pPr>
      <w:r w:rsidRPr="000423B1">
        <w:rPr>
          <w:color w:val="auto"/>
        </w:rPr>
        <w:t>1.3.</w:t>
      </w:r>
      <w:r w:rsidRPr="000423B1">
        <w:rPr>
          <w:color w:val="auto"/>
        </w:rPr>
        <w:tab/>
        <w:t>Members of the Audit Committee not to be members of the Finance Committee in order to maintain independence.</w:t>
      </w:r>
      <w:r w:rsidRPr="000423B1">
        <w:rPr>
          <w:color w:val="auto"/>
        </w:rPr>
        <w:br/>
      </w:r>
    </w:p>
    <w:p w14:paraId="7C362CB4" w14:textId="77777777" w:rsidR="00F34E97" w:rsidRPr="000423B1" w:rsidRDefault="00F34E97" w:rsidP="00C809B8">
      <w:pPr>
        <w:pStyle w:val="Heading2"/>
        <w:rPr>
          <w:sz w:val="24"/>
          <w:szCs w:val="24"/>
        </w:rPr>
      </w:pPr>
      <w:r w:rsidRPr="000423B1">
        <w:rPr>
          <w:sz w:val="24"/>
          <w:szCs w:val="24"/>
        </w:rPr>
        <w:t>2.</w:t>
      </w:r>
      <w:r w:rsidRPr="000423B1">
        <w:rPr>
          <w:sz w:val="24"/>
          <w:szCs w:val="24"/>
        </w:rPr>
        <w:tab/>
        <w:t>Chair</w:t>
      </w:r>
    </w:p>
    <w:p w14:paraId="455DDD51" w14:textId="77777777" w:rsidR="00F34E97" w:rsidRPr="000423B1" w:rsidRDefault="00F34E97" w:rsidP="00F34E97">
      <w:pPr>
        <w:spacing w:line="240" w:lineRule="auto"/>
        <w:rPr>
          <w:color w:val="auto"/>
        </w:rPr>
      </w:pPr>
    </w:p>
    <w:p w14:paraId="3D0043DE" w14:textId="0ED7DE79" w:rsidR="00F34E97" w:rsidRPr="000423B1" w:rsidRDefault="00F34E97" w:rsidP="00704E10">
      <w:pPr>
        <w:spacing w:line="240" w:lineRule="auto"/>
        <w:ind w:left="709" w:hanging="720"/>
        <w:rPr>
          <w:color w:val="auto"/>
        </w:rPr>
      </w:pPr>
      <w:r w:rsidRPr="000423B1">
        <w:rPr>
          <w:color w:val="auto"/>
        </w:rPr>
        <w:t>2.1.</w:t>
      </w:r>
      <w:r w:rsidRPr="000423B1">
        <w:rPr>
          <w:color w:val="auto"/>
        </w:rPr>
        <w:tab/>
        <w:t>The Chair of the Committee to be a member of the Corporation, other than the Principal, to be elected by members on an annual basis.</w:t>
      </w:r>
      <w:r w:rsidRPr="000423B1">
        <w:rPr>
          <w:color w:val="auto"/>
        </w:rPr>
        <w:br/>
      </w:r>
    </w:p>
    <w:p w14:paraId="4E387483" w14:textId="77777777" w:rsidR="00F34E97" w:rsidRPr="000423B1" w:rsidRDefault="00F34E97" w:rsidP="00C809B8">
      <w:pPr>
        <w:pStyle w:val="Heading2"/>
        <w:rPr>
          <w:sz w:val="24"/>
          <w:szCs w:val="24"/>
        </w:rPr>
      </w:pPr>
      <w:r w:rsidRPr="000423B1">
        <w:rPr>
          <w:sz w:val="24"/>
          <w:szCs w:val="24"/>
        </w:rPr>
        <w:t>3.</w:t>
      </w:r>
      <w:r w:rsidRPr="000423B1">
        <w:rPr>
          <w:sz w:val="24"/>
          <w:szCs w:val="24"/>
        </w:rPr>
        <w:tab/>
        <w:t>Quorum</w:t>
      </w:r>
    </w:p>
    <w:p w14:paraId="66DAAFC3" w14:textId="77777777" w:rsidR="00F34E97" w:rsidRPr="000423B1" w:rsidRDefault="00F34E97" w:rsidP="00F34E97">
      <w:pPr>
        <w:spacing w:line="240" w:lineRule="auto"/>
        <w:rPr>
          <w:color w:val="auto"/>
        </w:rPr>
      </w:pPr>
    </w:p>
    <w:p w14:paraId="6E95B470" w14:textId="77777777" w:rsidR="00F34E97" w:rsidRPr="000423B1" w:rsidRDefault="00F34E97" w:rsidP="00704E10">
      <w:pPr>
        <w:spacing w:line="240" w:lineRule="auto"/>
        <w:ind w:left="709" w:hanging="720"/>
        <w:rPr>
          <w:color w:val="auto"/>
        </w:rPr>
      </w:pPr>
      <w:r w:rsidRPr="000423B1">
        <w:rPr>
          <w:color w:val="auto"/>
        </w:rPr>
        <w:t>3.1.</w:t>
      </w:r>
      <w:r w:rsidRPr="000423B1">
        <w:rPr>
          <w:color w:val="auto"/>
        </w:rPr>
        <w:tab/>
        <w:t>The quorum shall be 3 members.</w:t>
      </w:r>
    </w:p>
    <w:p w14:paraId="00381C69" w14:textId="77777777" w:rsidR="00F34E97" w:rsidRPr="000423B1" w:rsidRDefault="00F34E97" w:rsidP="00F34E97">
      <w:pPr>
        <w:spacing w:line="240" w:lineRule="auto"/>
        <w:ind w:firstLine="720"/>
        <w:rPr>
          <w:color w:val="auto"/>
        </w:rPr>
      </w:pPr>
    </w:p>
    <w:p w14:paraId="03A69508" w14:textId="77777777" w:rsidR="00F34E97" w:rsidRPr="000423B1" w:rsidRDefault="00F34E97" w:rsidP="00C809B8">
      <w:pPr>
        <w:pStyle w:val="Heading2"/>
        <w:rPr>
          <w:sz w:val="24"/>
          <w:szCs w:val="24"/>
        </w:rPr>
      </w:pPr>
      <w:r w:rsidRPr="000423B1">
        <w:rPr>
          <w:sz w:val="24"/>
          <w:szCs w:val="24"/>
        </w:rPr>
        <w:t>4.</w:t>
      </w:r>
      <w:r w:rsidRPr="000423B1">
        <w:rPr>
          <w:sz w:val="24"/>
          <w:szCs w:val="24"/>
        </w:rPr>
        <w:tab/>
        <w:t>Frequency of meetings</w:t>
      </w:r>
    </w:p>
    <w:p w14:paraId="28AFFFD1" w14:textId="77777777" w:rsidR="00F34E97" w:rsidRPr="000423B1" w:rsidRDefault="00F34E97" w:rsidP="00F34E97">
      <w:pPr>
        <w:spacing w:line="240" w:lineRule="auto"/>
        <w:rPr>
          <w:color w:val="auto"/>
        </w:rPr>
      </w:pPr>
    </w:p>
    <w:p w14:paraId="02F5C7B6" w14:textId="77777777" w:rsidR="00F34E97" w:rsidRPr="000423B1" w:rsidRDefault="00F34E97" w:rsidP="00704E10">
      <w:pPr>
        <w:spacing w:line="240" w:lineRule="auto"/>
        <w:ind w:left="709" w:hanging="720"/>
        <w:rPr>
          <w:color w:val="auto"/>
        </w:rPr>
      </w:pPr>
      <w:r w:rsidRPr="000423B1">
        <w:rPr>
          <w:color w:val="auto"/>
        </w:rPr>
        <w:t>4.1.</w:t>
      </w:r>
      <w:r w:rsidRPr="000423B1">
        <w:rPr>
          <w:color w:val="auto"/>
        </w:rPr>
        <w:tab/>
        <w:t xml:space="preserve">At least once per term and at such other times as may be necessary at the request of the Chair or the Chair of Corporation.  </w:t>
      </w:r>
    </w:p>
    <w:p w14:paraId="29FB490E" w14:textId="77777777" w:rsidR="00F34E97" w:rsidRPr="000423B1" w:rsidRDefault="00F34E97" w:rsidP="00F34E97">
      <w:pPr>
        <w:spacing w:line="240" w:lineRule="auto"/>
        <w:rPr>
          <w:color w:val="auto"/>
        </w:rPr>
      </w:pPr>
    </w:p>
    <w:p w14:paraId="282E5533" w14:textId="77777777" w:rsidR="00F34E97" w:rsidRPr="000423B1" w:rsidRDefault="00F34E97" w:rsidP="001D275C">
      <w:pPr>
        <w:pStyle w:val="Heading2"/>
        <w:rPr>
          <w:sz w:val="24"/>
          <w:szCs w:val="24"/>
        </w:rPr>
      </w:pPr>
      <w:r w:rsidRPr="000423B1">
        <w:rPr>
          <w:sz w:val="24"/>
          <w:szCs w:val="24"/>
        </w:rPr>
        <w:t>5.</w:t>
      </w:r>
      <w:r w:rsidRPr="000423B1">
        <w:rPr>
          <w:sz w:val="24"/>
          <w:szCs w:val="24"/>
        </w:rPr>
        <w:tab/>
        <w:t>Terms of Reference</w:t>
      </w:r>
    </w:p>
    <w:p w14:paraId="148753B8" w14:textId="77777777" w:rsidR="00F34E97" w:rsidRPr="000423B1" w:rsidRDefault="00F34E97" w:rsidP="00F34E97">
      <w:pPr>
        <w:spacing w:line="240" w:lineRule="auto"/>
        <w:rPr>
          <w:color w:val="auto"/>
        </w:rPr>
      </w:pPr>
    </w:p>
    <w:p w14:paraId="26A36EEF" w14:textId="77777777" w:rsidR="00F34E97" w:rsidRPr="000423B1" w:rsidRDefault="00F34E97" w:rsidP="00F34E97">
      <w:pPr>
        <w:spacing w:line="240" w:lineRule="auto"/>
        <w:ind w:left="720"/>
        <w:rPr>
          <w:color w:val="auto"/>
        </w:rPr>
      </w:pPr>
      <w:r w:rsidRPr="000423B1">
        <w:rPr>
          <w:color w:val="auto"/>
        </w:rPr>
        <w:t xml:space="preserve">To consider and advise the Corporation on all aspects of the Corporation's finances, financial policies, controls and strategy (including the policy by which the tuition and other fees payable are determined), in accordance with the Instrument and Articles of Government and the Financial Memorandum. </w:t>
      </w:r>
    </w:p>
    <w:p w14:paraId="66E381AE" w14:textId="77777777" w:rsidR="00F34E97" w:rsidRPr="000423B1" w:rsidRDefault="00F34E97" w:rsidP="00F34E97">
      <w:pPr>
        <w:spacing w:line="240" w:lineRule="auto"/>
        <w:rPr>
          <w:color w:val="auto"/>
        </w:rPr>
      </w:pPr>
    </w:p>
    <w:p w14:paraId="40F2D0E8" w14:textId="77777777" w:rsidR="00F34E97" w:rsidRPr="000423B1" w:rsidRDefault="00F34E97" w:rsidP="00F34E97">
      <w:pPr>
        <w:spacing w:line="240" w:lineRule="auto"/>
        <w:ind w:firstLine="720"/>
        <w:rPr>
          <w:color w:val="auto"/>
        </w:rPr>
      </w:pPr>
      <w:r w:rsidRPr="000423B1">
        <w:rPr>
          <w:color w:val="auto"/>
        </w:rPr>
        <w:t>In particular:</w:t>
      </w:r>
    </w:p>
    <w:p w14:paraId="3E452A99" w14:textId="77777777" w:rsidR="00F34E97" w:rsidRPr="000423B1" w:rsidRDefault="00F34E97" w:rsidP="00F34E97">
      <w:pPr>
        <w:spacing w:line="240" w:lineRule="auto"/>
        <w:rPr>
          <w:color w:val="auto"/>
        </w:rPr>
      </w:pPr>
    </w:p>
    <w:p w14:paraId="7E801302" w14:textId="05C0857A" w:rsidR="00F34E97" w:rsidRPr="000423B1" w:rsidRDefault="00F34E97" w:rsidP="00F34E97">
      <w:pPr>
        <w:spacing w:line="240" w:lineRule="auto"/>
        <w:ind w:left="1440" w:hanging="720"/>
        <w:rPr>
          <w:rFonts w:eastAsia="Calibri"/>
          <w:color w:val="auto"/>
          <w:lang w:val="en-GB"/>
        </w:rPr>
      </w:pPr>
      <w:r w:rsidRPr="000423B1">
        <w:rPr>
          <w:color w:val="auto"/>
        </w:rPr>
        <w:t>5.1</w:t>
      </w:r>
      <w:r w:rsidRPr="000423B1">
        <w:rPr>
          <w:color w:val="auto"/>
        </w:rPr>
        <w:tab/>
        <w:t>to m</w:t>
      </w:r>
      <w:proofErr w:type="spellStart"/>
      <w:r w:rsidRPr="000423B1">
        <w:rPr>
          <w:rFonts w:eastAsia="Calibri"/>
          <w:color w:val="auto"/>
          <w:lang w:val="en-GB"/>
        </w:rPr>
        <w:t>aintain</w:t>
      </w:r>
      <w:proofErr w:type="spellEnd"/>
      <w:r w:rsidRPr="000423B1">
        <w:rPr>
          <w:rFonts w:eastAsia="Calibri"/>
          <w:color w:val="auto"/>
          <w:lang w:val="en-GB"/>
        </w:rPr>
        <w:t xml:space="preserve"> a continuous review of the Financial Regulations through the Executive Director of Finance, advising the Corporation of any additions or changes necessary;</w:t>
      </w:r>
      <w:r w:rsidRPr="000423B1">
        <w:rPr>
          <w:rFonts w:eastAsia="Calibri"/>
          <w:color w:val="auto"/>
          <w:lang w:val="en-GB"/>
        </w:rPr>
        <w:br/>
      </w:r>
    </w:p>
    <w:p w14:paraId="1266355B" w14:textId="72E346EB" w:rsidR="00F34E97" w:rsidRPr="000423B1" w:rsidRDefault="00F34E97" w:rsidP="00F34E97">
      <w:pPr>
        <w:spacing w:line="240" w:lineRule="auto"/>
        <w:ind w:left="1440" w:hanging="720"/>
        <w:rPr>
          <w:color w:val="auto"/>
        </w:rPr>
      </w:pPr>
      <w:r w:rsidRPr="000423B1">
        <w:rPr>
          <w:color w:val="auto"/>
        </w:rPr>
        <w:t>5.2</w:t>
      </w:r>
      <w:r w:rsidRPr="000423B1">
        <w:rPr>
          <w:color w:val="auto"/>
        </w:rPr>
        <w:tab/>
        <w:t>to monitor regularly the financial position and financial control systems of the College, including annual estimates and accounts and the financial health score</w:t>
      </w:r>
      <w:r w:rsidR="00704E10" w:rsidRPr="000423B1">
        <w:rPr>
          <w:strike/>
          <w:color w:val="auto"/>
        </w:rPr>
        <w:t>.</w:t>
      </w:r>
      <w:r w:rsidRPr="000423B1">
        <w:rPr>
          <w:color w:val="auto"/>
        </w:rPr>
        <w:br/>
      </w:r>
    </w:p>
    <w:p w14:paraId="7619A0D3" w14:textId="2218C9E1" w:rsidR="00F34E97" w:rsidRPr="000423B1" w:rsidRDefault="00F34E97" w:rsidP="00F34E97">
      <w:pPr>
        <w:spacing w:line="240" w:lineRule="auto"/>
        <w:ind w:left="1440" w:hanging="720"/>
        <w:rPr>
          <w:color w:val="auto"/>
        </w:rPr>
      </w:pPr>
      <w:r w:rsidRPr="000423B1">
        <w:rPr>
          <w:color w:val="auto"/>
        </w:rPr>
        <w:t>5.3.</w:t>
      </w:r>
      <w:r w:rsidRPr="000423B1">
        <w:rPr>
          <w:color w:val="auto"/>
        </w:rPr>
        <w:tab/>
        <w:t>to consider and advise the Corporation on the three-year financial plan, annual estimates of income and expenditure, and the setting of the annual revenue budget and capital programme (including any revised budgets);</w:t>
      </w:r>
    </w:p>
    <w:p w14:paraId="2C057C6E" w14:textId="77777777" w:rsidR="00BA7235" w:rsidRPr="000423B1" w:rsidRDefault="00BA7235" w:rsidP="00BA7235">
      <w:pPr>
        <w:spacing w:line="240" w:lineRule="auto"/>
        <w:rPr>
          <w:color w:val="auto"/>
        </w:rPr>
      </w:pPr>
    </w:p>
    <w:p w14:paraId="503BA468" w14:textId="6EB1EF2B" w:rsidR="00F34E97" w:rsidRPr="000423B1" w:rsidRDefault="00F34E97" w:rsidP="00F34E97">
      <w:pPr>
        <w:spacing w:line="240" w:lineRule="auto"/>
        <w:ind w:left="1440" w:hanging="720"/>
        <w:rPr>
          <w:color w:val="auto"/>
        </w:rPr>
      </w:pPr>
      <w:r w:rsidRPr="000423B1">
        <w:rPr>
          <w:color w:val="auto"/>
        </w:rPr>
        <w:t>5.4.</w:t>
      </w:r>
      <w:r w:rsidRPr="000423B1">
        <w:rPr>
          <w:color w:val="auto"/>
        </w:rPr>
        <w:tab/>
        <w:t>to be advised of the level of carry forward agreed in any year regarding unspent balances on directorate budgets;</w:t>
      </w:r>
      <w:r w:rsidRPr="000423B1">
        <w:rPr>
          <w:color w:val="auto"/>
        </w:rPr>
        <w:br/>
      </w:r>
    </w:p>
    <w:p w14:paraId="1B1EF709" w14:textId="1424ACD8" w:rsidR="00F34E97" w:rsidRPr="000423B1" w:rsidRDefault="00F34E97" w:rsidP="00F34E97">
      <w:pPr>
        <w:spacing w:line="240" w:lineRule="auto"/>
        <w:ind w:left="1440" w:hanging="720"/>
        <w:rPr>
          <w:color w:val="auto"/>
        </w:rPr>
      </w:pPr>
      <w:r w:rsidRPr="000423B1">
        <w:rPr>
          <w:color w:val="auto"/>
        </w:rPr>
        <w:lastRenderedPageBreak/>
        <w:t>5.5.</w:t>
      </w:r>
      <w:r w:rsidRPr="000423B1">
        <w:rPr>
          <w:color w:val="auto"/>
        </w:rPr>
        <w:tab/>
        <w:t xml:space="preserve">to approve revisions or variations to budgets of more than </w:t>
      </w:r>
      <w:r w:rsidR="00A32A97" w:rsidRPr="000423B1">
        <w:rPr>
          <w:color w:val="auto"/>
        </w:rPr>
        <w:t>£100,000 and up to £250,000</w:t>
      </w:r>
      <w:r w:rsidRPr="000423B1">
        <w:rPr>
          <w:color w:val="auto"/>
        </w:rPr>
        <w:t>;</w:t>
      </w:r>
    </w:p>
    <w:p w14:paraId="6CD0AF3C" w14:textId="77777777" w:rsidR="00BA7235" w:rsidRPr="000423B1" w:rsidRDefault="00BA7235" w:rsidP="00F34E97">
      <w:pPr>
        <w:spacing w:line="240" w:lineRule="auto"/>
        <w:ind w:left="1440" w:hanging="720"/>
        <w:rPr>
          <w:color w:val="auto"/>
        </w:rPr>
      </w:pPr>
    </w:p>
    <w:p w14:paraId="0DF7D22A" w14:textId="653333AF" w:rsidR="00F34E97" w:rsidRPr="000423B1" w:rsidRDefault="00F34E97" w:rsidP="00F34E97">
      <w:pPr>
        <w:spacing w:line="240" w:lineRule="auto"/>
        <w:ind w:left="1440" w:hanging="720"/>
        <w:rPr>
          <w:color w:val="auto"/>
        </w:rPr>
      </w:pPr>
      <w:r w:rsidRPr="000423B1">
        <w:rPr>
          <w:color w:val="auto"/>
        </w:rPr>
        <w:t>5.6.</w:t>
      </w:r>
      <w:r w:rsidRPr="000423B1">
        <w:rPr>
          <w:color w:val="auto"/>
        </w:rPr>
        <w:tab/>
        <w:t xml:space="preserve">to consider revisions or variations to budgets of more than </w:t>
      </w:r>
      <w:r w:rsidR="00A32A97" w:rsidRPr="000423B1">
        <w:rPr>
          <w:color w:val="auto"/>
        </w:rPr>
        <w:t xml:space="preserve">£250,000 </w:t>
      </w:r>
      <w:r w:rsidRPr="000423B1">
        <w:rPr>
          <w:color w:val="auto"/>
        </w:rPr>
        <w:t>submitting them to the Corporation for approval, making appropriate proposals;</w:t>
      </w:r>
    </w:p>
    <w:p w14:paraId="43B42DD2" w14:textId="77777777" w:rsidR="00BA7235" w:rsidRPr="000423B1" w:rsidRDefault="00BA7235" w:rsidP="00F34E97">
      <w:pPr>
        <w:spacing w:line="240" w:lineRule="auto"/>
        <w:ind w:left="1440" w:hanging="720"/>
        <w:rPr>
          <w:color w:val="auto"/>
        </w:rPr>
      </w:pPr>
    </w:p>
    <w:p w14:paraId="77464A14" w14:textId="1799DD3C" w:rsidR="00F34E97" w:rsidRPr="000423B1" w:rsidRDefault="00F34E97" w:rsidP="00F34E97">
      <w:pPr>
        <w:spacing w:line="240" w:lineRule="auto"/>
        <w:ind w:left="1440" w:hanging="720"/>
        <w:rPr>
          <w:color w:val="auto"/>
        </w:rPr>
      </w:pPr>
      <w:r w:rsidRPr="000423B1">
        <w:rPr>
          <w:color w:val="auto"/>
        </w:rPr>
        <w:t>5.7.</w:t>
      </w:r>
      <w:r w:rsidRPr="000423B1">
        <w:rPr>
          <w:color w:val="auto"/>
        </w:rPr>
        <w:tab/>
        <w:t xml:space="preserve">to receive information as part of the standard management accounts reporting on the volume, risk, nature and </w:t>
      </w:r>
      <w:r w:rsidR="00A32A97" w:rsidRPr="000423B1">
        <w:rPr>
          <w:color w:val="auto"/>
        </w:rPr>
        <w:t xml:space="preserve">financial </w:t>
      </w:r>
      <w:r w:rsidRPr="000423B1">
        <w:rPr>
          <w:color w:val="auto"/>
        </w:rPr>
        <w:t>performance of sub-contracted provision;</w:t>
      </w:r>
      <w:r w:rsidRPr="000423B1">
        <w:rPr>
          <w:color w:val="auto"/>
        </w:rPr>
        <w:br/>
      </w:r>
    </w:p>
    <w:p w14:paraId="5E94E3A4" w14:textId="747D97ED" w:rsidR="00F34E97" w:rsidRPr="000423B1" w:rsidRDefault="00F34E97" w:rsidP="00F34E97">
      <w:pPr>
        <w:spacing w:line="240" w:lineRule="auto"/>
        <w:ind w:left="1440" w:hanging="720"/>
        <w:rPr>
          <w:color w:val="auto"/>
        </w:rPr>
      </w:pPr>
      <w:r w:rsidRPr="000423B1">
        <w:rPr>
          <w:color w:val="auto"/>
        </w:rPr>
        <w:t>5.8.</w:t>
      </w:r>
      <w:r w:rsidRPr="000423B1">
        <w:rPr>
          <w:color w:val="auto"/>
        </w:rPr>
        <w:tab/>
        <w:t>to make recommendations concerning the financial consequences of the College’s Estates and Accommodation Strategy, and to ensure that estates maintenance expenditure is adequate;</w:t>
      </w:r>
      <w:r w:rsidRPr="000423B1">
        <w:rPr>
          <w:color w:val="auto"/>
        </w:rPr>
        <w:br/>
      </w:r>
    </w:p>
    <w:p w14:paraId="10EDE685" w14:textId="113A55F0" w:rsidR="00F34E97" w:rsidRPr="000423B1" w:rsidRDefault="00F34E97" w:rsidP="00F34E97">
      <w:pPr>
        <w:spacing w:line="240" w:lineRule="auto"/>
        <w:ind w:left="1440" w:hanging="720"/>
        <w:rPr>
          <w:color w:val="auto"/>
        </w:rPr>
      </w:pPr>
      <w:r w:rsidRPr="000423B1">
        <w:rPr>
          <w:color w:val="auto"/>
        </w:rPr>
        <w:t>5.9.</w:t>
      </w:r>
      <w:r w:rsidRPr="000423B1">
        <w:rPr>
          <w:color w:val="auto"/>
        </w:rPr>
        <w:tab/>
        <w:t>to monitor the control and investment of fund balances and to ensure that any College trust funds are operated within any relevant legislation;</w:t>
      </w:r>
      <w:r w:rsidRPr="000423B1">
        <w:rPr>
          <w:color w:val="auto"/>
        </w:rPr>
        <w:br/>
      </w:r>
    </w:p>
    <w:p w14:paraId="11B12AED" w14:textId="05FF8EF7" w:rsidR="00F34E97" w:rsidRPr="000423B1" w:rsidRDefault="00F34E97" w:rsidP="00F34E97">
      <w:pPr>
        <w:spacing w:line="240" w:lineRule="auto"/>
        <w:ind w:firstLine="720"/>
        <w:rPr>
          <w:color w:val="auto"/>
        </w:rPr>
      </w:pPr>
      <w:r w:rsidRPr="000423B1">
        <w:rPr>
          <w:color w:val="auto"/>
        </w:rPr>
        <w:t>5.10.</w:t>
      </w:r>
      <w:r w:rsidRPr="000423B1">
        <w:rPr>
          <w:color w:val="auto"/>
        </w:rPr>
        <w:tab/>
        <w:t>to determine the appropriate level of insurance cover;</w:t>
      </w:r>
      <w:r w:rsidRPr="000423B1">
        <w:rPr>
          <w:color w:val="auto"/>
        </w:rPr>
        <w:br/>
      </w:r>
    </w:p>
    <w:p w14:paraId="54C878D3" w14:textId="2F85EA8A" w:rsidR="00F34E97" w:rsidRPr="000423B1" w:rsidRDefault="00F34E97" w:rsidP="00F34E97">
      <w:pPr>
        <w:spacing w:line="240" w:lineRule="auto"/>
        <w:ind w:firstLine="720"/>
        <w:rPr>
          <w:color w:val="auto"/>
        </w:rPr>
      </w:pPr>
      <w:r w:rsidRPr="000423B1">
        <w:rPr>
          <w:color w:val="auto"/>
        </w:rPr>
        <w:t>5.11.</w:t>
      </w:r>
      <w:r w:rsidRPr="000423B1">
        <w:rPr>
          <w:color w:val="auto"/>
        </w:rPr>
        <w:tab/>
        <w:t>to approve the use of sole suppliers where the supply exceeds 50,000;</w:t>
      </w:r>
      <w:r w:rsidRPr="000423B1">
        <w:rPr>
          <w:color w:val="auto"/>
        </w:rPr>
        <w:br/>
      </w:r>
    </w:p>
    <w:p w14:paraId="29D00F5E" w14:textId="3F838ED8" w:rsidR="00F34E97" w:rsidRPr="000423B1" w:rsidRDefault="00F34E97" w:rsidP="00F34E97">
      <w:pPr>
        <w:spacing w:line="240" w:lineRule="auto"/>
        <w:ind w:firstLine="720"/>
        <w:rPr>
          <w:color w:val="auto"/>
        </w:rPr>
      </w:pPr>
      <w:r w:rsidRPr="000423B1">
        <w:rPr>
          <w:color w:val="auto"/>
        </w:rPr>
        <w:t>5.12.</w:t>
      </w:r>
      <w:r w:rsidRPr="000423B1">
        <w:rPr>
          <w:color w:val="auto"/>
        </w:rPr>
        <w:tab/>
        <w:t xml:space="preserve">to </w:t>
      </w:r>
      <w:proofErr w:type="spellStart"/>
      <w:r w:rsidRPr="000423B1">
        <w:rPr>
          <w:color w:val="auto"/>
        </w:rPr>
        <w:t>authorise</w:t>
      </w:r>
      <w:proofErr w:type="spellEnd"/>
      <w:r w:rsidRPr="000423B1">
        <w:rPr>
          <w:color w:val="auto"/>
        </w:rPr>
        <w:t xml:space="preserve"> requisitions over £100,000;</w:t>
      </w:r>
      <w:r w:rsidRPr="000423B1">
        <w:rPr>
          <w:color w:val="auto"/>
        </w:rPr>
        <w:br/>
      </w:r>
    </w:p>
    <w:p w14:paraId="2DEA6563" w14:textId="350BBEB9" w:rsidR="00F34E97" w:rsidRPr="000423B1" w:rsidRDefault="00F34E97" w:rsidP="00F34E97">
      <w:pPr>
        <w:spacing w:line="240" w:lineRule="auto"/>
        <w:ind w:left="1440" w:hanging="720"/>
        <w:rPr>
          <w:color w:val="auto"/>
        </w:rPr>
      </w:pPr>
      <w:r w:rsidRPr="000423B1">
        <w:rPr>
          <w:color w:val="auto"/>
        </w:rPr>
        <w:t>5.13.</w:t>
      </w:r>
      <w:r w:rsidRPr="000423B1">
        <w:rPr>
          <w:color w:val="auto"/>
        </w:rPr>
        <w:tab/>
        <w:t>to approve any severance payment scheme and to note any individual payments in excess of £30,000;</w:t>
      </w:r>
      <w:r w:rsidRPr="000423B1">
        <w:rPr>
          <w:color w:val="auto"/>
        </w:rPr>
        <w:br/>
      </w:r>
    </w:p>
    <w:p w14:paraId="14405172" w14:textId="1EA09946" w:rsidR="00F34E97" w:rsidRPr="000423B1" w:rsidRDefault="00F34E97" w:rsidP="00F34E97">
      <w:pPr>
        <w:spacing w:line="240" w:lineRule="auto"/>
        <w:ind w:left="1440" w:hanging="720"/>
        <w:rPr>
          <w:color w:val="auto"/>
        </w:rPr>
      </w:pPr>
      <w:r w:rsidRPr="000423B1">
        <w:rPr>
          <w:color w:val="auto"/>
        </w:rPr>
        <w:t>5.14.</w:t>
      </w:r>
      <w:r w:rsidRPr="000423B1">
        <w:rPr>
          <w:color w:val="auto"/>
        </w:rPr>
        <w:tab/>
        <w:t>to approve detailed financial procedures relating to the disposal of equipment and furniture;</w:t>
      </w:r>
      <w:r w:rsidRPr="000423B1">
        <w:rPr>
          <w:color w:val="auto"/>
        </w:rPr>
        <w:br/>
      </w:r>
    </w:p>
    <w:p w14:paraId="02814B06" w14:textId="25AA8972" w:rsidR="00F34E97" w:rsidRPr="000423B1" w:rsidRDefault="00F34E97" w:rsidP="00F34E97">
      <w:pPr>
        <w:spacing w:line="240" w:lineRule="auto"/>
        <w:ind w:left="1440" w:hanging="720"/>
        <w:rPr>
          <w:color w:val="auto"/>
        </w:rPr>
      </w:pPr>
      <w:r w:rsidRPr="000423B1">
        <w:rPr>
          <w:color w:val="auto"/>
        </w:rPr>
        <w:t>5.15.</w:t>
      </w:r>
      <w:r w:rsidRPr="000423B1">
        <w:rPr>
          <w:color w:val="auto"/>
        </w:rPr>
        <w:tab/>
        <w:t>where there is a competitive tendering process for the supply of goods or services, to be notified of any post-tender negotiations (ie after receipt of formal tenders but before signing of contracts);</w:t>
      </w:r>
      <w:r w:rsidRPr="000423B1">
        <w:rPr>
          <w:color w:val="auto"/>
        </w:rPr>
        <w:br/>
      </w:r>
    </w:p>
    <w:p w14:paraId="3527D908" w14:textId="1A679B9B" w:rsidR="00F34E97" w:rsidRPr="000423B1" w:rsidRDefault="00F34E97" w:rsidP="00F34E97">
      <w:pPr>
        <w:spacing w:line="240" w:lineRule="auto"/>
        <w:ind w:left="1440" w:hanging="720"/>
        <w:rPr>
          <w:color w:val="auto"/>
        </w:rPr>
      </w:pPr>
      <w:r w:rsidRPr="000423B1">
        <w:rPr>
          <w:color w:val="auto"/>
        </w:rPr>
        <w:t>5.16.</w:t>
      </w:r>
      <w:r w:rsidRPr="000423B1">
        <w:rPr>
          <w:color w:val="auto"/>
        </w:rPr>
        <w:tab/>
        <w:t>to approve the College’s treasury management policy statement, setting out a strategy and policies for cash management, long-term investments and borrowings, and monitor the implementation, monitoring and review of such policies;</w:t>
      </w:r>
      <w:r w:rsidRPr="000423B1">
        <w:rPr>
          <w:color w:val="auto"/>
        </w:rPr>
        <w:br/>
      </w:r>
    </w:p>
    <w:p w14:paraId="54BDD60F" w14:textId="13C93DD6" w:rsidR="00F34E97" w:rsidRPr="000423B1" w:rsidRDefault="00F34E97" w:rsidP="00F34E97">
      <w:pPr>
        <w:spacing w:line="240" w:lineRule="auto"/>
        <w:ind w:firstLine="720"/>
        <w:rPr>
          <w:color w:val="auto"/>
        </w:rPr>
      </w:pPr>
      <w:r w:rsidRPr="000423B1">
        <w:rPr>
          <w:color w:val="auto"/>
        </w:rPr>
        <w:t>5.17.</w:t>
      </w:r>
      <w:r w:rsidRPr="000423B1">
        <w:rPr>
          <w:color w:val="auto"/>
        </w:rPr>
        <w:tab/>
        <w:t>to approve the College’s bank mandate from time to time;</w:t>
      </w:r>
      <w:r w:rsidRPr="000423B1">
        <w:rPr>
          <w:color w:val="auto"/>
        </w:rPr>
        <w:br/>
      </w:r>
    </w:p>
    <w:p w14:paraId="11C9D93D" w14:textId="2A55FAE2" w:rsidR="00F34E97" w:rsidRPr="000423B1" w:rsidRDefault="00F34E97" w:rsidP="00F34E97">
      <w:pPr>
        <w:spacing w:line="240" w:lineRule="auto"/>
        <w:ind w:left="1440" w:hanging="720"/>
        <w:rPr>
          <w:color w:val="auto"/>
        </w:rPr>
      </w:pPr>
      <w:r w:rsidRPr="000423B1">
        <w:rPr>
          <w:color w:val="auto"/>
        </w:rPr>
        <w:t>5.18.</w:t>
      </w:r>
      <w:r w:rsidRPr="000423B1">
        <w:rPr>
          <w:color w:val="auto"/>
        </w:rPr>
        <w:tab/>
        <w:t>to periodically review the College’s banking arrangements and determine whether a competition for price and quality of service is appropriate;</w:t>
      </w:r>
      <w:r w:rsidRPr="000423B1">
        <w:rPr>
          <w:color w:val="auto"/>
        </w:rPr>
        <w:br/>
      </w:r>
    </w:p>
    <w:p w14:paraId="079FC032" w14:textId="6A0DC74C" w:rsidR="00F34E97" w:rsidRPr="000423B1" w:rsidRDefault="00F34E97" w:rsidP="00F34E97">
      <w:pPr>
        <w:spacing w:line="240" w:lineRule="auto"/>
        <w:ind w:firstLine="720"/>
        <w:rPr>
          <w:color w:val="auto"/>
        </w:rPr>
      </w:pPr>
      <w:r w:rsidRPr="000423B1">
        <w:rPr>
          <w:color w:val="auto"/>
        </w:rPr>
        <w:t>5.19.</w:t>
      </w:r>
      <w:r w:rsidRPr="000423B1">
        <w:rPr>
          <w:color w:val="auto"/>
        </w:rPr>
        <w:tab/>
        <w:t>to be notified of any bad debt write offs in excess of £5,000;</w:t>
      </w:r>
    </w:p>
    <w:p w14:paraId="2DA3A5D2" w14:textId="77777777" w:rsidR="00BA7235" w:rsidRPr="000423B1" w:rsidRDefault="00BA7235" w:rsidP="00F34E97">
      <w:pPr>
        <w:spacing w:line="240" w:lineRule="auto"/>
        <w:ind w:firstLine="720"/>
        <w:rPr>
          <w:color w:val="auto"/>
        </w:rPr>
      </w:pPr>
    </w:p>
    <w:p w14:paraId="169CF923" w14:textId="3F867629" w:rsidR="00F34E97" w:rsidRPr="000423B1" w:rsidRDefault="00F34E97" w:rsidP="00F34E97">
      <w:pPr>
        <w:spacing w:line="240" w:lineRule="auto"/>
        <w:ind w:left="1440" w:hanging="720"/>
        <w:rPr>
          <w:color w:val="auto"/>
        </w:rPr>
      </w:pPr>
      <w:r w:rsidRPr="000423B1">
        <w:rPr>
          <w:color w:val="auto"/>
        </w:rPr>
        <w:t>5.20.</w:t>
      </w:r>
      <w:r w:rsidRPr="000423B1">
        <w:rPr>
          <w:color w:val="auto"/>
        </w:rPr>
        <w:tab/>
        <w:t xml:space="preserve">to approve procedures to deal with any patents accruing to the College from inventions and discoveries made by staff in the course of their research; </w:t>
      </w:r>
      <w:r w:rsidRPr="000423B1">
        <w:rPr>
          <w:color w:val="auto"/>
        </w:rPr>
        <w:br/>
      </w:r>
    </w:p>
    <w:p w14:paraId="1F0E6552" w14:textId="3AFB5FFE" w:rsidR="00F34E97" w:rsidRPr="000423B1" w:rsidRDefault="00F34E97" w:rsidP="00F34E97">
      <w:pPr>
        <w:spacing w:line="240" w:lineRule="auto"/>
        <w:ind w:firstLine="720"/>
        <w:rPr>
          <w:color w:val="auto"/>
        </w:rPr>
      </w:pPr>
      <w:r w:rsidRPr="000423B1">
        <w:rPr>
          <w:color w:val="auto"/>
        </w:rPr>
        <w:t>5.21.</w:t>
      </w:r>
      <w:r w:rsidRPr="000423B1">
        <w:rPr>
          <w:color w:val="auto"/>
        </w:rPr>
        <w:tab/>
        <w:t>in respect of capital projects and/or overseas activity, to:</w:t>
      </w:r>
    </w:p>
    <w:p w14:paraId="589E731B" w14:textId="77777777" w:rsidR="00BA7235" w:rsidRPr="000423B1" w:rsidRDefault="00BA7235" w:rsidP="00F34E97">
      <w:pPr>
        <w:spacing w:line="240" w:lineRule="auto"/>
        <w:ind w:firstLine="720"/>
        <w:rPr>
          <w:color w:val="auto"/>
        </w:rPr>
      </w:pPr>
    </w:p>
    <w:p w14:paraId="3D1D103C" w14:textId="30D2A755" w:rsidR="00BA7235" w:rsidRPr="000423B1" w:rsidRDefault="00BA7235" w:rsidP="00BA7235">
      <w:pPr>
        <w:pStyle w:val="ListParagraph"/>
        <w:numPr>
          <w:ilvl w:val="2"/>
          <w:numId w:val="2"/>
        </w:numPr>
        <w:ind w:left="1843"/>
        <w:rPr>
          <w:rFonts w:ascii="Arial" w:hAnsi="Arial" w:cs="Arial"/>
          <w:sz w:val="24"/>
        </w:rPr>
      </w:pPr>
      <w:r w:rsidRPr="000423B1">
        <w:rPr>
          <w:rFonts w:ascii="Arial" w:hAnsi="Arial" w:cs="Arial"/>
          <w:sz w:val="24"/>
        </w:rPr>
        <w:t>con</w:t>
      </w:r>
      <w:r w:rsidR="00F34E97" w:rsidRPr="000423B1">
        <w:rPr>
          <w:rFonts w:ascii="Arial" w:hAnsi="Arial" w:cs="Arial"/>
          <w:sz w:val="24"/>
        </w:rPr>
        <w:t>sider any individual scheme with an expected total value exceeding £</w:t>
      </w:r>
      <w:r w:rsidR="00D66D9D" w:rsidRPr="000423B1">
        <w:rPr>
          <w:rFonts w:ascii="Arial" w:hAnsi="Arial" w:cs="Arial"/>
          <w:sz w:val="24"/>
        </w:rPr>
        <w:t>250</w:t>
      </w:r>
      <w:r w:rsidR="00F34E97" w:rsidRPr="000423B1">
        <w:rPr>
          <w:rFonts w:ascii="Arial" w:hAnsi="Arial" w:cs="Arial"/>
          <w:sz w:val="24"/>
        </w:rPr>
        <w:t>,000 including VAT, making recommendations to the Corporation;</w:t>
      </w:r>
    </w:p>
    <w:p w14:paraId="68B632A9" w14:textId="77777777" w:rsidR="00BA7235" w:rsidRPr="000423B1" w:rsidRDefault="00F34E97" w:rsidP="00BA7235">
      <w:pPr>
        <w:pStyle w:val="ListParagraph"/>
        <w:numPr>
          <w:ilvl w:val="2"/>
          <w:numId w:val="2"/>
        </w:numPr>
        <w:ind w:left="1843"/>
        <w:rPr>
          <w:rFonts w:ascii="Arial" w:hAnsi="Arial" w:cs="Arial"/>
          <w:sz w:val="24"/>
        </w:rPr>
      </w:pPr>
      <w:r w:rsidRPr="000423B1">
        <w:rPr>
          <w:rFonts w:ascii="Arial" w:hAnsi="Arial" w:cs="Arial"/>
          <w:sz w:val="24"/>
        </w:rPr>
        <w:t xml:space="preserve">monitor all financial matters; and </w:t>
      </w:r>
    </w:p>
    <w:p w14:paraId="33CAF0B5" w14:textId="11A4574F" w:rsidR="00F34E97" w:rsidRPr="000423B1" w:rsidRDefault="00F34E97" w:rsidP="00BA7235">
      <w:pPr>
        <w:pStyle w:val="ListParagraph"/>
        <w:numPr>
          <w:ilvl w:val="2"/>
          <w:numId w:val="2"/>
        </w:numPr>
        <w:ind w:left="1843"/>
        <w:rPr>
          <w:rFonts w:ascii="Arial" w:hAnsi="Arial" w:cs="Arial"/>
          <w:sz w:val="24"/>
        </w:rPr>
      </w:pPr>
      <w:r w:rsidRPr="000423B1">
        <w:rPr>
          <w:rFonts w:ascii="Arial" w:hAnsi="Arial" w:cs="Arial"/>
          <w:sz w:val="24"/>
        </w:rPr>
        <w:t>consider any post-project evaluation reports.</w:t>
      </w:r>
      <w:r w:rsidRPr="000423B1">
        <w:rPr>
          <w:sz w:val="24"/>
        </w:rPr>
        <w:br/>
      </w:r>
    </w:p>
    <w:p w14:paraId="0B81282C" w14:textId="04CF5807" w:rsidR="00F34E97" w:rsidRPr="000423B1" w:rsidRDefault="00F34E97" w:rsidP="00F34E97">
      <w:pPr>
        <w:spacing w:line="240" w:lineRule="auto"/>
        <w:ind w:left="1440" w:hanging="720"/>
        <w:rPr>
          <w:color w:val="auto"/>
        </w:rPr>
      </w:pPr>
      <w:r w:rsidRPr="000423B1">
        <w:rPr>
          <w:color w:val="auto"/>
        </w:rPr>
        <w:t>5.22.</w:t>
      </w:r>
      <w:r w:rsidRPr="000423B1">
        <w:rPr>
          <w:color w:val="auto"/>
        </w:rPr>
        <w:tab/>
        <w:t>to agree any new course that is intended to be launched as a loss leader, if this is to be in excess of £100,000;</w:t>
      </w:r>
      <w:r w:rsidRPr="000423B1">
        <w:rPr>
          <w:color w:val="auto"/>
        </w:rPr>
        <w:br/>
      </w:r>
    </w:p>
    <w:p w14:paraId="74EEE058" w14:textId="2170C13D" w:rsidR="00F34E97" w:rsidRPr="000423B1" w:rsidRDefault="00F34E97" w:rsidP="00F34E97">
      <w:pPr>
        <w:spacing w:line="240" w:lineRule="auto"/>
        <w:ind w:left="1440" w:hanging="720"/>
        <w:rPr>
          <w:color w:val="auto"/>
        </w:rPr>
      </w:pPr>
      <w:r w:rsidRPr="000423B1">
        <w:rPr>
          <w:color w:val="auto"/>
        </w:rPr>
        <w:t>5.23.</w:t>
      </w:r>
      <w:r w:rsidRPr="000423B1">
        <w:rPr>
          <w:color w:val="auto"/>
        </w:rPr>
        <w:tab/>
        <w:t xml:space="preserve">to ensure that any individual payments under ‘outward collaborative provision’ contracts are </w:t>
      </w:r>
      <w:proofErr w:type="spellStart"/>
      <w:r w:rsidRPr="000423B1">
        <w:rPr>
          <w:color w:val="auto"/>
        </w:rPr>
        <w:t>authorised</w:t>
      </w:r>
      <w:proofErr w:type="spellEnd"/>
      <w:r w:rsidRPr="000423B1">
        <w:rPr>
          <w:color w:val="auto"/>
        </w:rPr>
        <w:t xml:space="preserve"> on the basis that the payment represents a bona fide element of the contract which has been approved under a scheme set out by the Committee;</w:t>
      </w:r>
      <w:r w:rsidRPr="000423B1">
        <w:rPr>
          <w:color w:val="auto"/>
        </w:rPr>
        <w:br/>
      </w:r>
    </w:p>
    <w:p w14:paraId="0B21914C" w14:textId="77777777" w:rsidR="00F34E97" w:rsidRPr="000423B1" w:rsidRDefault="00F34E97" w:rsidP="00F34E97">
      <w:pPr>
        <w:spacing w:line="240" w:lineRule="auto"/>
        <w:ind w:left="1440" w:hanging="720"/>
        <w:rPr>
          <w:color w:val="auto"/>
        </w:rPr>
      </w:pPr>
      <w:r w:rsidRPr="000423B1">
        <w:rPr>
          <w:color w:val="auto"/>
        </w:rPr>
        <w:t>5.24.</w:t>
      </w:r>
      <w:r w:rsidRPr="000423B1">
        <w:rPr>
          <w:color w:val="auto"/>
        </w:rPr>
        <w:tab/>
        <w:t>to deal with such other financial or general matters as may from time to time be referred to it for consideration or approval.</w:t>
      </w:r>
    </w:p>
    <w:p w14:paraId="21CFD7DE" w14:textId="77777777" w:rsidR="00F34E97" w:rsidRPr="000423B1" w:rsidRDefault="00F34E97" w:rsidP="00F34E97">
      <w:pPr>
        <w:widowControl/>
        <w:autoSpaceDE/>
        <w:autoSpaceDN/>
        <w:adjustRightInd/>
        <w:spacing w:line="240" w:lineRule="auto"/>
        <w:textAlignment w:val="auto"/>
        <w:rPr>
          <w:color w:val="auto"/>
        </w:rPr>
      </w:pPr>
    </w:p>
    <w:p w14:paraId="3D992F86" w14:textId="77777777" w:rsidR="00F34E97" w:rsidRPr="000423B1" w:rsidRDefault="00F34E97" w:rsidP="00F34E97">
      <w:pPr>
        <w:widowControl/>
        <w:autoSpaceDE/>
        <w:autoSpaceDN/>
        <w:adjustRightInd/>
        <w:spacing w:line="240" w:lineRule="auto"/>
        <w:textAlignment w:val="auto"/>
        <w:rPr>
          <w:color w:val="auto"/>
        </w:rPr>
      </w:pPr>
    </w:p>
    <w:p w14:paraId="4F67BB70" w14:textId="632BEF91" w:rsidR="00412914" w:rsidRPr="000423B1" w:rsidRDefault="00A32A97" w:rsidP="001D275C">
      <w:pPr>
        <w:widowControl/>
        <w:autoSpaceDE/>
        <w:autoSpaceDN/>
        <w:adjustRightInd/>
        <w:spacing w:line="240" w:lineRule="auto"/>
        <w:ind w:firstLine="720"/>
        <w:textAlignment w:val="auto"/>
        <w:rPr>
          <w:color w:val="auto"/>
        </w:rPr>
      </w:pPr>
      <w:r w:rsidRPr="000423B1">
        <w:rPr>
          <w:color w:val="auto"/>
        </w:rPr>
        <w:t>Approved by the Corporation 10/07/2024</w:t>
      </w:r>
      <w:bookmarkEnd w:id="0"/>
    </w:p>
    <w:sectPr w:rsidR="00412914" w:rsidRPr="000423B1" w:rsidSect="00BA72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31B0F"/>
    <w:multiLevelType w:val="hybridMultilevel"/>
    <w:tmpl w:val="21F62D34"/>
    <w:lvl w:ilvl="0" w:tplc="DBE6AA6A">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5F7F581B"/>
    <w:multiLevelType w:val="hybridMultilevel"/>
    <w:tmpl w:val="8A7C57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66D24E7F"/>
    <w:multiLevelType w:val="hybridMultilevel"/>
    <w:tmpl w:val="12F47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97"/>
    <w:rsid w:val="000423B1"/>
    <w:rsid w:val="001D275C"/>
    <w:rsid w:val="002C5334"/>
    <w:rsid w:val="00412914"/>
    <w:rsid w:val="006A6CC2"/>
    <w:rsid w:val="00704E10"/>
    <w:rsid w:val="00881443"/>
    <w:rsid w:val="00A32A97"/>
    <w:rsid w:val="00BA7235"/>
    <w:rsid w:val="00C809B8"/>
    <w:rsid w:val="00D66D9D"/>
    <w:rsid w:val="00F34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0357"/>
  <w15:chartTrackingRefBased/>
  <w15:docId w15:val="{6AEF11C3-EA8B-45B0-B495-ACA4ACDB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E97"/>
    <w:pPr>
      <w:widowControl w:val="0"/>
      <w:autoSpaceDE w:val="0"/>
      <w:autoSpaceDN w:val="0"/>
      <w:adjustRightInd w:val="0"/>
      <w:spacing w:after="0" w:line="289" w:lineRule="auto"/>
      <w:textAlignment w:val="baseline"/>
    </w:pPr>
    <w:rPr>
      <w:rFonts w:ascii="Arial" w:eastAsia="Times New Roman" w:hAnsi="Arial" w:cs="Arial"/>
      <w:color w:val="000000"/>
      <w:sz w:val="24"/>
      <w:szCs w:val="24"/>
      <w:lang w:val="en-US"/>
    </w:rPr>
  </w:style>
  <w:style w:type="paragraph" w:styleId="Heading1">
    <w:name w:val="heading 1"/>
    <w:basedOn w:val="Normal"/>
    <w:next w:val="Normal"/>
    <w:link w:val="Heading1Char"/>
    <w:uiPriority w:val="9"/>
    <w:qFormat/>
    <w:rsid w:val="00C809B8"/>
    <w:pPr>
      <w:keepNext/>
      <w:keepLines/>
      <w:spacing w:before="240"/>
      <w:outlineLvl w:val="0"/>
    </w:pPr>
    <w:rPr>
      <w:rFonts w:eastAsiaTheme="majorEastAsia" w:cstheme="majorBidi"/>
      <w:b/>
      <w:color w:val="auto"/>
      <w:sz w:val="32"/>
      <w:szCs w:val="32"/>
    </w:rPr>
  </w:style>
  <w:style w:type="paragraph" w:styleId="Heading2">
    <w:name w:val="heading 2"/>
    <w:basedOn w:val="Normal"/>
    <w:next w:val="Normal"/>
    <w:link w:val="Heading2Char"/>
    <w:uiPriority w:val="9"/>
    <w:unhideWhenUsed/>
    <w:qFormat/>
    <w:rsid w:val="00C809B8"/>
    <w:pPr>
      <w:keepNext/>
      <w:keepLines/>
      <w:spacing w:before="40"/>
      <w:outlineLvl w:val="1"/>
    </w:pPr>
    <w:rPr>
      <w:rFonts w:eastAsiaTheme="majorEastAsia" w:cstheme="majorBidi"/>
      <w:b/>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 1"/>
    <w:basedOn w:val="Normal"/>
    <w:rsid w:val="00F34E97"/>
    <w:pPr>
      <w:keepNext/>
      <w:pBdr>
        <w:top w:val="single" w:sz="2" w:space="0" w:color="33528F"/>
      </w:pBdr>
      <w:tabs>
        <w:tab w:val="left" w:pos="680"/>
      </w:tabs>
      <w:ind w:right="227"/>
      <w:jc w:val="right"/>
    </w:pPr>
    <w:rPr>
      <w:rFonts w:ascii="Arial Narrow" w:hAnsi="Arial Narrow" w:cs="Times New Roman"/>
      <w:color w:val="000080"/>
      <w:spacing w:val="39"/>
      <w:sz w:val="22"/>
      <w:szCs w:val="22"/>
    </w:rPr>
  </w:style>
  <w:style w:type="paragraph" w:styleId="ListParagraph">
    <w:name w:val="List Paragraph"/>
    <w:aliases w:val="Dot pt,No Spacing1,List Paragraph Char Char Char,Indicator Text,Numbered Para 1,List Paragraph1,Bullet 1,Bullet Points,MAIN CONTENT,OBC Bullet"/>
    <w:basedOn w:val="Normal"/>
    <w:link w:val="ListParagraphChar"/>
    <w:uiPriority w:val="34"/>
    <w:qFormat/>
    <w:rsid w:val="00BA7235"/>
    <w:pPr>
      <w:widowControl/>
      <w:autoSpaceDE/>
      <w:autoSpaceDN/>
      <w:adjustRightInd/>
      <w:spacing w:line="240" w:lineRule="auto"/>
      <w:ind w:left="720"/>
      <w:contextualSpacing/>
      <w:textAlignment w:val="auto"/>
    </w:pPr>
    <w:rPr>
      <w:rFonts w:ascii="Arial Narrow" w:hAnsi="Arial Narrow" w:cs="Times New Roman"/>
      <w:color w:val="auto"/>
      <w:sz w:val="22"/>
      <w:lang w:val="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
    <w:basedOn w:val="DefaultParagraphFont"/>
    <w:link w:val="ListParagraph"/>
    <w:uiPriority w:val="34"/>
    <w:rsid w:val="00BA7235"/>
    <w:rPr>
      <w:rFonts w:ascii="Arial Narrow" w:eastAsia="Times New Roman" w:hAnsi="Arial Narrow" w:cs="Times New Roman"/>
      <w:szCs w:val="24"/>
    </w:rPr>
  </w:style>
  <w:style w:type="character" w:customStyle="1" w:styleId="Heading1Char">
    <w:name w:val="Heading 1 Char"/>
    <w:basedOn w:val="DefaultParagraphFont"/>
    <w:link w:val="Heading1"/>
    <w:uiPriority w:val="9"/>
    <w:rsid w:val="00C809B8"/>
    <w:rPr>
      <w:rFonts w:ascii="Arial" w:eastAsiaTheme="majorEastAsia" w:hAnsi="Arial" w:cstheme="majorBidi"/>
      <w:b/>
      <w:sz w:val="32"/>
      <w:szCs w:val="32"/>
      <w:lang w:val="en-US"/>
    </w:rPr>
  </w:style>
  <w:style w:type="character" w:customStyle="1" w:styleId="Heading2Char">
    <w:name w:val="Heading 2 Char"/>
    <w:basedOn w:val="DefaultParagraphFont"/>
    <w:link w:val="Heading2"/>
    <w:uiPriority w:val="9"/>
    <w:rsid w:val="00C809B8"/>
    <w:rPr>
      <w:rFonts w:ascii="Arial" w:eastAsiaTheme="majorEastAsia" w:hAnsi="Arial" w:cstheme="majorBidi"/>
      <w:b/>
      <w:sz w:val="28"/>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Eliza Duckworth</cp:lastModifiedBy>
  <cp:revision>2</cp:revision>
  <dcterms:created xsi:type="dcterms:W3CDTF">2025-02-19T16:05:00Z</dcterms:created>
  <dcterms:modified xsi:type="dcterms:W3CDTF">2025-02-19T16:05:00Z</dcterms:modified>
</cp:coreProperties>
</file>