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C97E75" w14:textId="4175241E" w:rsidR="007F63B1" w:rsidRPr="00A2141D" w:rsidRDefault="007F63B1" w:rsidP="0092195E">
      <w:pPr>
        <w:jc w:val="both"/>
        <w:rPr>
          <w:rFonts w:cs="Arial"/>
          <w:szCs w:val="24"/>
        </w:rPr>
      </w:pPr>
      <w:r w:rsidRPr="00A2141D">
        <w:rPr>
          <w:rFonts w:cs="Arial"/>
          <w:szCs w:val="24"/>
        </w:rPr>
        <w:t>Kirklees College</w:t>
      </w:r>
      <w:r w:rsidRPr="00A2141D">
        <w:rPr>
          <w:rFonts w:cs="Arial"/>
          <w:szCs w:val="24"/>
        </w:rPr>
        <w:tab/>
      </w:r>
      <w:r w:rsidRPr="00A2141D">
        <w:rPr>
          <w:rFonts w:cs="Arial"/>
          <w:szCs w:val="24"/>
        </w:rPr>
        <w:tab/>
      </w:r>
      <w:r w:rsidRPr="00A2141D">
        <w:rPr>
          <w:rFonts w:cs="Arial"/>
          <w:szCs w:val="24"/>
        </w:rPr>
        <w:tab/>
      </w:r>
      <w:r w:rsidRPr="00A2141D">
        <w:rPr>
          <w:rFonts w:cs="Arial"/>
          <w:szCs w:val="24"/>
        </w:rPr>
        <w:tab/>
      </w:r>
      <w:r w:rsidRPr="00A2141D">
        <w:rPr>
          <w:rFonts w:cs="Arial"/>
          <w:szCs w:val="24"/>
        </w:rPr>
        <w:tab/>
      </w:r>
      <w:r w:rsidRPr="00A2141D">
        <w:rPr>
          <w:rFonts w:cs="Arial"/>
          <w:szCs w:val="24"/>
        </w:rPr>
        <w:tab/>
      </w:r>
      <w:r w:rsidRPr="00A2141D">
        <w:rPr>
          <w:rFonts w:cs="Arial"/>
          <w:szCs w:val="24"/>
        </w:rPr>
        <w:tab/>
      </w:r>
    </w:p>
    <w:p w14:paraId="01053AB4" w14:textId="77777777" w:rsidR="007F63B1" w:rsidRPr="00A2141D" w:rsidRDefault="007F63B1" w:rsidP="0092195E">
      <w:pPr>
        <w:jc w:val="both"/>
        <w:rPr>
          <w:rFonts w:cs="Arial"/>
          <w:b/>
          <w:szCs w:val="24"/>
        </w:rPr>
      </w:pPr>
    </w:p>
    <w:p w14:paraId="40A9C9F5" w14:textId="094540BC" w:rsidR="007F63B1" w:rsidRPr="00A2141D" w:rsidRDefault="007F63B1" w:rsidP="00E723B2">
      <w:pPr>
        <w:pStyle w:val="Heading1"/>
      </w:pPr>
      <w:r w:rsidRPr="00A2141D">
        <w:t>A</w:t>
      </w:r>
      <w:r w:rsidR="00A2141D" w:rsidRPr="00A2141D">
        <w:t>udit Committee – Terms of Reference</w:t>
      </w:r>
    </w:p>
    <w:p w14:paraId="4CB5892E" w14:textId="77777777" w:rsidR="007F63B1" w:rsidRPr="00A2141D" w:rsidRDefault="007F63B1" w:rsidP="0092195E">
      <w:pPr>
        <w:jc w:val="both"/>
        <w:rPr>
          <w:rFonts w:cs="Arial"/>
          <w:szCs w:val="24"/>
        </w:rPr>
      </w:pPr>
    </w:p>
    <w:p w14:paraId="6B5C9275" w14:textId="285E45B2" w:rsidR="007F63B1" w:rsidRPr="00A2141D" w:rsidRDefault="007F63B1" w:rsidP="0092195E">
      <w:pPr>
        <w:jc w:val="both"/>
        <w:rPr>
          <w:rFonts w:cs="Arial"/>
          <w:szCs w:val="24"/>
        </w:rPr>
      </w:pPr>
      <w:r w:rsidRPr="00A2141D">
        <w:rPr>
          <w:rFonts w:cs="Arial"/>
          <w:szCs w:val="24"/>
        </w:rPr>
        <w:t xml:space="preserve">It is a condition of funding and the Post-16 Audit Code of Practice </w:t>
      </w:r>
      <w:r w:rsidR="00C53FEA" w:rsidRPr="00A2141D">
        <w:rPr>
          <w:rFonts w:cs="Arial"/>
          <w:szCs w:val="24"/>
        </w:rPr>
        <w:t>202</w:t>
      </w:r>
      <w:r w:rsidR="004070F4" w:rsidRPr="00A2141D">
        <w:rPr>
          <w:rFonts w:cs="Arial"/>
          <w:szCs w:val="24"/>
        </w:rPr>
        <w:t>2</w:t>
      </w:r>
      <w:r w:rsidRPr="00A2141D">
        <w:rPr>
          <w:rFonts w:cs="Arial"/>
          <w:szCs w:val="24"/>
        </w:rPr>
        <w:t>/2</w:t>
      </w:r>
      <w:r w:rsidR="004070F4" w:rsidRPr="00A2141D">
        <w:rPr>
          <w:rFonts w:cs="Arial"/>
          <w:szCs w:val="24"/>
        </w:rPr>
        <w:t>3</w:t>
      </w:r>
      <w:r w:rsidRPr="00A2141D">
        <w:rPr>
          <w:rFonts w:cs="Arial"/>
          <w:szCs w:val="24"/>
        </w:rPr>
        <w:t xml:space="preserve"> (“ACOP”), that the Corporation establishes an Audit Committee. These Terms of Reference comply with the ACOP. They must be read in conjunction with the Instrument and Articles of Government, the Corporation’s Standing orders and the College’s Financial Regulations from time to time. They may only be varied by the Corporation.</w:t>
      </w:r>
    </w:p>
    <w:p w14:paraId="596B9028" w14:textId="77777777" w:rsidR="007F63B1" w:rsidRPr="00A2141D" w:rsidRDefault="007F63B1" w:rsidP="0092195E">
      <w:pPr>
        <w:jc w:val="both"/>
        <w:rPr>
          <w:rFonts w:cs="Arial"/>
          <w:szCs w:val="24"/>
        </w:rPr>
      </w:pPr>
    </w:p>
    <w:p w14:paraId="0E863FE7" w14:textId="77777777" w:rsidR="007F63B1" w:rsidRPr="00A2141D" w:rsidRDefault="007F63B1" w:rsidP="001366F5">
      <w:pPr>
        <w:pStyle w:val="Heading2"/>
        <w:numPr>
          <w:ilvl w:val="0"/>
          <w:numId w:val="7"/>
        </w:numPr>
        <w:ind w:left="851" w:hanging="851"/>
        <w:jc w:val="both"/>
        <w:rPr>
          <w:b w:val="0"/>
          <w:u w:val="none"/>
        </w:rPr>
      </w:pPr>
      <w:r w:rsidRPr="00A2141D">
        <w:rPr>
          <w:u w:val="none"/>
        </w:rPr>
        <w:t>Constitution</w:t>
      </w:r>
    </w:p>
    <w:p w14:paraId="4F4E2D93" w14:textId="77777777" w:rsidR="007F63B1" w:rsidRPr="00A2141D" w:rsidRDefault="007F63B1" w:rsidP="0092195E">
      <w:pPr>
        <w:rPr>
          <w:rFonts w:cs="Arial"/>
          <w:szCs w:val="24"/>
        </w:rPr>
      </w:pPr>
    </w:p>
    <w:p w14:paraId="05374423" w14:textId="77777777" w:rsidR="007F63B1" w:rsidRPr="00A2141D" w:rsidRDefault="007F63B1" w:rsidP="001366F5">
      <w:pPr>
        <w:pStyle w:val="ListParagraph"/>
        <w:numPr>
          <w:ilvl w:val="1"/>
          <w:numId w:val="7"/>
        </w:numPr>
        <w:ind w:left="851" w:hanging="851"/>
        <w:rPr>
          <w:rFonts w:cs="Arial"/>
          <w:szCs w:val="24"/>
        </w:rPr>
      </w:pPr>
      <w:r w:rsidRPr="00A2141D">
        <w:rPr>
          <w:rFonts w:cs="Arial"/>
          <w:szCs w:val="24"/>
        </w:rPr>
        <w:t>A minimum of four members, a majority being Governors.</w:t>
      </w:r>
    </w:p>
    <w:p w14:paraId="343D9D20" w14:textId="77777777" w:rsidR="007F63B1" w:rsidRPr="00A2141D" w:rsidRDefault="007F63B1" w:rsidP="001366F5">
      <w:pPr>
        <w:ind w:left="851" w:hanging="851"/>
        <w:jc w:val="both"/>
        <w:rPr>
          <w:rFonts w:cs="Arial"/>
          <w:szCs w:val="24"/>
        </w:rPr>
      </w:pPr>
    </w:p>
    <w:p w14:paraId="3AC1A71F" w14:textId="77777777" w:rsidR="007F63B1" w:rsidRPr="00A2141D" w:rsidRDefault="007F63B1" w:rsidP="001366F5">
      <w:pPr>
        <w:ind w:left="851" w:hanging="851"/>
        <w:jc w:val="both"/>
        <w:rPr>
          <w:rFonts w:cs="Arial"/>
          <w:szCs w:val="24"/>
        </w:rPr>
      </w:pPr>
      <w:bookmarkStart w:id="0" w:name="_GoBack"/>
      <w:bookmarkEnd w:id="0"/>
    </w:p>
    <w:p w14:paraId="32352994" w14:textId="57EBBC5F" w:rsidR="007F63B1" w:rsidRPr="00A2141D" w:rsidRDefault="007F63B1" w:rsidP="001366F5">
      <w:pPr>
        <w:pStyle w:val="ListParagraph"/>
        <w:numPr>
          <w:ilvl w:val="1"/>
          <w:numId w:val="7"/>
        </w:numPr>
        <w:ind w:left="851" w:hanging="851"/>
        <w:rPr>
          <w:rFonts w:cs="Arial"/>
          <w:szCs w:val="24"/>
        </w:rPr>
      </w:pPr>
      <w:r w:rsidRPr="00A2141D">
        <w:rPr>
          <w:rFonts w:cs="Arial"/>
          <w:szCs w:val="24"/>
        </w:rPr>
        <w:t>The Committee must not adopt an executive role or be charged with making or endorsing any decision.</w:t>
      </w:r>
    </w:p>
    <w:p w14:paraId="3C88DA06" w14:textId="77777777" w:rsidR="007F63B1" w:rsidRPr="00A2141D" w:rsidRDefault="007F63B1" w:rsidP="001366F5">
      <w:pPr>
        <w:pStyle w:val="ListParagraph"/>
        <w:ind w:left="851" w:hanging="851"/>
        <w:rPr>
          <w:rFonts w:cs="Arial"/>
          <w:szCs w:val="24"/>
        </w:rPr>
      </w:pPr>
    </w:p>
    <w:p w14:paraId="2E732CB1" w14:textId="7605F9CB" w:rsidR="007F63B1" w:rsidRPr="00A2141D" w:rsidRDefault="007F63B1" w:rsidP="001366F5">
      <w:pPr>
        <w:pStyle w:val="ListParagraph"/>
        <w:numPr>
          <w:ilvl w:val="1"/>
          <w:numId w:val="7"/>
        </w:numPr>
        <w:spacing w:after="80"/>
        <w:ind w:left="851" w:hanging="851"/>
        <w:contextualSpacing w:val="0"/>
        <w:rPr>
          <w:szCs w:val="24"/>
        </w:rPr>
      </w:pPr>
      <w:r w:rsidRPr="00A2141D">
        <w:rPr>
          <w:rFonts w:cs="Arial"/>
          <w:szCs w:val="24"/>
        </w:rPr>
        <w:t xml:space="preserve">The following </w:t>
      </w:r>
      <w:r w:rsidR="000621C8" w:rsidRPr="00A2141D">
        <w:rPr>
          <w:rFonts w:cs="Arial"/>
          <w:szCs w:val="24"/>
        </w:rPr>
        <w:t xml:space="preserve">may attend but shall not, in the interests of the independent nature of the Committee, be eligible to serve as members of the Committee: </w:t>
      </w:r>
    </w:p>
    <w:p w14:paraId="13864058" w14:textId="77777777" w:rsidR="007F63B1" w:rsidRPr="00A2141D" w:rsidRDefault="007F63B1" w:rsidP="001366F5">
      <w:pPr>
        <w:pStyle w:val="Default"/>
        <w:numPr>
          <w:ilvl w:val="0"/>
          <w:numId w:val="1"/>
        </w:numPr>
        <w:spacing w:after="100"/>
        <w:ind w:left="1134" w:hanging="283"/>
        <w:rPr>
          <w:color w:val="auto"/>
        </w:rPr>
      </w:pPr>
      <w:r w:rsidRPr="00A2141D">
        <w:rPr>
          <w:color w:val="auto"/>
        </w:rPr>
        <w:t xml:space="preserve">the Principal/Chief Executive and other Senior Post Holders; </w:t>
      </w:r>
    </w:p>
    <w:p w14:paraId="205F32BB" w14:textId="77777777" w:rsidR="007F63B1" w:rsidRPr="00A2141D" w:rsidRDefault="007F63B1" w:rsidP="001366F5">
      <w:pPr>
        <w:pStyle w:val="Default"/>
        <w:numPr>
          <w:ilvl w:val="0"/>
          <w:numId w:val="1"/>
        </w:numPr>
        <w:spacing w:after="100"/>
        <w:ind w:left="1134" w:hanging="283"/>
        <w:rPr>
          <w:color w:val="auto"/>
        </w:rPr>
      </w:pPr>
      <w:r w:rsidRPr="00A2141D">
        <w:rPr>
          <w:color w:val="auto"/>
        </w:rPr>
        <w:t xml:space="preserve">members of the Finance Committee; </w:t>
      </w:r>
    </w:p>
    <w:p w14:paraId="7F2A03B3" w14:textId="77777777" w:rsidR="007F63B1" w:rsidRPr="00A2141D" w:rsidRDefault="007F63B1" w:rsidP="001366F5">
      <w:pPr>
        <w:pStyle w:val="Default"/>
        <w:numPr>
          <w:ilvl w:val="0"/>
          <w:numId w:val="1"/>
        </w:numPr>
        <w:spacing w:after="100"/>
        <w:ind w:left="1134" w:hanging="283"/>
        <w:rPr>
          <w:color w:val="auto"/>
        </w:rPr>
      </w:pPr>
      <w:r w:rsidRPr="00A2141D">
        <w:rPr>
          <w:color w:val="auto"/>
        </w:rPr>
        <w:t xml:space="preserve">Staff Governors; </w:t>
      </w:r>
    </w:p>
    <w:p w14:paraId="09DCED15" w14:textId="77777777" w:rsidR="007F63B1" w:rsidRPr="00A2141D" w:rsidRDefault="007F63B1" w:rsidP="001366F5">
      <w:pPr>
        <w:pStyle w:val="Default"/>
        <w:numPr>
          <w:ilvl w:val="0"/>
          <w:numId w:val="1"/>
        </w:numPr>
        <w:spacing w:after="200"/>
        <w:ind w:left="1134" w:hanging="284"/>
        <w:rPr>
          <w:color w:val="auto"/>
        </w:rPr>
      </w:pPr>
      <w:r w:rsidRPr="00A2141D">
        <w:rPr>
          <w:color w:val="auto"/>
        </w:rPr>
        <w:t>the Chair of the Corporation.</w:t>
      </w:r>
    </w:p>
    <w:p w14:paraId="7B7FE643" w14:textId="77777777" w:rsidR="007F63B1" w:rsidRPr="00A2141D" w:rsidRDefault="007F63B1" w:rsidP="001366F5">
      <w:pPr>
        <w:pStyle w:val="ListParagraph"/>
        <w:numPr>
          <w:ilvl w:val="1"/>
          <w:numId w:val="7"/>
        </w:numPr>
        <w:ind w:left="851" w:hanging="851"/>
        <w:rPr>
          <w:rFonts w:cs="Arial"/>
          <w:szCs w:val="24"/>
        </w:rPr>
      </w:pPr>
      <w:r w:rsidRPr="00A2141D">
        <w:rPr>
          <w:rFonts w:cs="Arial"/>
          <w:szCs w:val="24"/>
        </w:rPr>
        <w:t>To discharge its duties effectively, the Committee must have an appropriate mix of skill and experience, including recent, relevant experience in risk management, finance and assurance. The skills mix should also reflect the needs of the Corporation and extend to expertise in all relevant financial and non-financial areas.</w:t>
      </w:r>
    </w:p>
    <w:p w14:paraId="74B19BE9" w14:textId="77777777" w:rsidR="007F63B1" w:rsidRPr="00A2141D" w:rsidRDefault="007F63B1" w:rsidP="001366F5">
      <w:pPr>
        <w:pStyle w:val="Default"/>
        <w:ind w:left="851" w:hanging="851"/>
      </w:pPr>
    </w:p>
    <w:p w14:paraId="5CB73859" w14:textId="77777777" w:rsidR="007F63B1" w:rsidRPr="00A2141D" w:rsidRDefault="007F63B1" w:rsidP="001366F5">
      <w:pPr>
        <w:pStyle w:val="ListParagraph"/>
        <w:numPr>
          <w:ilvl w:val="1"/>
          <w:numId w:val="7"/>
        </w:numPr>
        <w:spacing w:before="200"/>
        <w:ind w:left="851" w:hanging="851"/>
        <w:contextualSpacing w:val="0"/>
        <w:rPr>
          <w:rFonts w:cs="Arial"/>
          <w:szCs w:val="24"/>
        </w:rPr>
      </w:pPr>
      <w:r w:rsidRPr="00A2141D">
        <w:rPr>
          <w:rFonts w:cs="Arial"/>
          <w:szCs w:val="24"/>
        </w:rPr>
        <w:t>The Committee will consider the development of its members and put in place appropriate training to ensure their skills and knowledge are up to date.</w:t>
      </w:r>
    </w:p>
    <w:p w14:paraId="7BF98E29" w14:textId="77777777" w:rsidR="007F63B1" w:rsidRPr="00A2141D" w:rsidRDefault="007F63B1" w:rsidP="001366F5">
      <w:pPr>
        <w:pStyle w:val="Default"/>
        <w:ind w:left="851" w:hanging="851"/>
      </w:pPr>
    </w:p>
    <w:p w14:paraId="2FCFC750" w14:textId="44D9A78E" w:rsidR="007F63B1" w:rsidRPr="00A2141D" w:rsidRDefault="007F63B1" w:rsidP="001366F5">
      <w:pPr>
        <w:pStyle w:val="ListParagraph"/>
        <w:numPr>
          <w:ilvl w:val="1"/>
          <w:numId w:val="7"/>
        </w:numPr>
        <w:ind w:left="851" w:hanging="851"/>
        <w:rPr>
          <w:rFonts w:cs="Arial"/>
          <w:szCs w:val="24"/>
        </w:rPr>
      </w:pPr>
      <w:r w:rsidRPr="00A2141D">
        <w:rPr>
          <w:rFonts w:cs="Arial"/>
          <w:szCs w:val="24"/>
        </w:rPr>
        <w:t>The internal auditor</w:t>
      </w:r>
      <w:r w:rsidR="006C048C" w:rsidRPr="00A2141D">
        <w:rPr>
          <w:rFonts w:cs="Arial"/>
          <w:szCs w:val="24"/>
        </w:rPr>
        <w:t xml:space="preserve"> and external auditor</w:t>
      </w:r>
      <w:r w:rsidRPr="00A2141D">
        <w:rPr>
          <w:rFonts w:cs="Arial"/>
          <w:szCs w:val="24"/>
        </w:rPr>
        <w:t xml:space="preserve"> shall be invited to attend all meetings; other assurance providers shall be invited to attend when relevant.</w:t>
      </w:r>
    </w:p>
    <w:p w14:paraId="511E0AD3" w14:textId="77777777" w:rsidR="007F63B1" w:rsidRPr="00A2141D" w:rsidRDefault="007F63B1" w:rsidP="001366F5">
      <w:pPr>
        <w:pStyle w:val="ListParagraph"/>
        <w:ind w:left="851" w:hanging="851"/>
        <w:rPr>
          <w:rFonts w:cs="Arial"/>
          <w:szCs w:val="24"/>
        </w:rPr>
      </w:pPr>
    </w:p>
    <w:p w14:paraId="0892146D" w14:textId="77777777" w:rsidR="007F63B1" w:rsidRPr="00A2141D" w:rsidRDefault="007F63B1" w:rsidP="001366F5">
      <w:pPr>
        <w:pStyle w:val="ListParagraph"/>
        <w:numPr>
          <w:ilvl w:val="1"/>
          <w:numId w:val="7"/>
        </w:numPr>
        <w:ind w:left="851" w:hanging="851"/>
        <w:rPr>
          <w:rFonts w:cs="Arial"/>
          <w:szCs w:val="24"/>
        </w:rPr>
      </w:pPr>
      <w:r w:rsidRPr="00A2141D">
        <w:rPr>
          <w:rFonts w:cs="Arial"/>
          <w:szCs w:val="24"/>
        </w:rPr>
        <w:t>Senior leaders shall be invited to attend meetings to present information when their area of responsibility is to be discussed.</w:t>
      </w:r>
    </w:p>
    <w:p w14:paraId="67264FEB" w14:textId="77777777" w:rsidR="007F63B1" w:rsidRPr="00A2141D" w:rsidRDefault="007F63B1" w:rsidP="0092195E">
      <w:pPr>
        <w:jc w:val="both"/>
        <w:rPr>
          <w:rFonts w:cs="Arial"/>
          <w:szCs w:val="24"/>
        </w:rPr>
      </w:pPr>
    </w:p>
    <w:p w14:paraId="43D4DEA9" w14:textId="77777777" w:rsidR="007F63B1" w:rsidRPr="00A2141D" w:rsidRDefault="007F63B1" w:rsidP="001366F5">
      <w:pPr>
        <w:pStyle w:val="Heading2"/>
        <w:numPr>
          <w:ilvl w:val="0"/>
          <w:numId w:val="7"/>
        </w:numPr>
        <w:ind w:left="851" w:hanging="851"/>
        <w:jc w:val="both"/>
        <w:rPr>
          <w:b w:val="0"/>
          <w:u w:val="none"/>
        </w:rPr>
      </w:pPr>
      <w:r w:rsidRPr="00A2141D">
        <w:rPr>
          <w:u w:val="none"/>
        </w:rPr>
        <w:t>Chair</w:t>
      </w:r>
    </w:p>
    <w:p w14:paraId="586ECFA3" w14:textId="77777777" w:rsidR="007F63B1" w:rsidRPr="00A2141D" w:rsidRDefault="007F63B1" w:rsidP="0092195E">
      <w:pPr>
        <w:rPr>
          <w:rFonts w:cs="Arial"/>
          <w:szCs w:val="24"/>
        </w:rPr>
      </w:pPr>
    </w:p>
    <w:p w14:paraId="2E207CAE" w14:textId="7221CD2A" w:rsidR="007F63B1" w:rsidRPr="00A2141D" w:rsidRDefault="00E723B2" w:rsidP="00E723B2">
      <w:pPr>
        <w:rPr>
          <w:szCs w:val="24"/>
        </w:rPr>
      </w:pPr>
      <w:r w:rsidRPr="00A2141D">
        <w:rPr>
          <w:szCs w:val="24"/>
        </w:rPr>
        <w:t xml:space="preserve">2.1 </w:t>
      </w:r>
      <w:r w:rsidRPr="00A2141D">
        <w:rPr>
          <w:szCs w:val="24"/>
        </w:rPr>
        <w:tab/>
      </w:r>
      <w:r w:rsidR="007F63B1" w:rsidRPr="00A2141D">
        <w:rPr>
          <w:szCs w:val="24"/>
        </w:rPr>
        <w:t>The Committee Chair shall be elected by the Committee on an annual basis.</w:t>
      </w:r>
    </w:p>
    <w:p w14:paraId="2F5BD83C" w14:textId="77777777" w:rsidR="007F63B1" w:rsidRPr="00A2141D" w:rsidRDefault="007F63B1" w:rsidP="0092195E">
      <w:pPr>
        <w:pStyle w:val="ListParagraph"/>
        <w:numPr>
          <w:ilvl w:val="0"/>
          <w:numId w:val="8"/>
        </w:numPr>
        <w:ind w:left="0"/>
        <w:jc w:val="both"/>
        <w:rPr>
          <w:rFonts w:cs="Arial"/>
          <w:vanish/>
          <w:szCs w:val="24"/>
        </w:rPr>
      </w:pPr>
    </w:p>
    <w:p w14:paraId="71833209" w14:textId="77777777" w:rsidR="007F63B1" w:rsidRPr="00A2141D" w:rsidRDefault="007F63B1" w:rsidP="0092195E">
      <w:pPr>
        <w:jc w:val="both"/>
        <w:rPr>
          <w:rFonts w:cs="Arial"/>
          <w:szCs w:val="24"/>
        </w:rPr>
      </w:pPr>
    </w:p>
    <w:p w14:paraId="512384F8" w14:textId="77777777" w:rsidR="007F63B1" w:rsidRPr="00A2141D" w:rsidRDefault="007F63B1" w:rsidP="001366F5">
      <w:pPr>
        <w:pStyle w:val="Heading2"/>
        <w:numPr>
          <w:ilvl w:val="0"/>
          <w:numId w:val="7"/>
        </w:numPr>
        <w:ind w:left="851" w:hanging="851"/>
        <w:jc w:val="both"/>
        <w:rPr>
          <w:b w:val="0"/>
          <w:u w:val="none"/>
        </w:rPr>
      </w:pPr>
      <w:r w:rsidRPr="00A2141D">
        <w:rPr>
          <w:u w:val="none"/>
        </w:rPr>
        <w:t>Quorum</w:t>
      </w:r>
    </w:p>
    <w:p w14:paraId="5AB1081E" w14:textId="77777777" w:rsidR="007F63B1" w:rsidRPr="00A2141D" w:rsidRDefault="007F63B1" w:rsidP="0092195E">
      <w:pPr>
        <w:jc w:val="both"/>
        <w:rPr>
          <w:rFonts w:cs="Arial"/>
          <w:szCs w:val="24"/>
          <w:u w:val="single"/>
        </w:rPr>
      </w:pPr>
    </w:p>
    <w:p w14:paraId="54914190" w14:textId="77777777" w:rsidR="007F63B1" w:rsidRPr="00A2141D" w:rsidRDefault="007F63B1" w:rsidP="001366F5">
      <w:pPr>
        <w:pStyle w:val="Heading2"/>
        <w:numPr>
          <w:ilvl w:val="1"/>
          <w:numId w:val="7"/>
        </w:numPr>
        <w:ind w:left="851" w:hanging="851"/>
        <w:jc w:val="both"/>
        <w:rPr>
          <w:u w:val="none"/>
        </w:rPr>
      </w:pPr>
      <w:r w:rsidRPr="00A2141D">
        <w:rPr>
          <w:u w:val="none"/>
        </w:rPr>
        <w:t>Three members.</w:t>
      </w:r>
    </w:p>
    <w:p w14:paraId="638D02E8" w14:textId="77777777" w:rsidR="007F63B1" w:rsidRPr="00A2141D" w:rsidRDefault="007F63B1" w:rsidP="0092195E">
      <w:pPr>
        <w:jc w:val="both"/>
        <w:rPr>
          <w:rFonts w:cs="Arial"/>
          <w:szCs w:val="24"/>
        </w:rPr>
      </w:pPr>
    </w:p>
    <w:p w14:paraId="33B57711" w14:textId="77777777" w:rsidR="007F63B1" w:rsidRPr="00A2141D" w:rsidRDefault="007F63B1" w:rsidP="001366F5">
      <w:pPr>
        <w:pStyle w:val="Heading2"/>
        <w:numPr>
          <w:ilvl w:val="0"/>
          <w:numId w:val="7"/>
        </w:numPr>
        <w:ind w:left="851" w:hanging="851"/>
        <w:jc w:val="both"/>
        <w:rPr>
          <w:b w:val="0"/>
          <w:u w:val="none"/>
        </w:rPr>
      </w:pPr>
      <w:r w:rsidRPr="00A2141D">
        <w:rPr>
          <w:u w:val="none"/>
        </w:rPr>
        <w:lastRenderedPageBreak/>
        <w:t>Frequency of Meetings</w:t>
      </w:r>
    </w:p>
    <w:p w14:paraId="53A59985" w14:textId="77777777" w:rsidR="007F63B1" w:rsidRPr="00A2141D" w:rsidRDefault="007F63B1" w:rsidP="0092195E">
      <w:pPr>
        <w:rPr>
          <w:szCs w:val="24"/>
        </w:rPr>
      </w:pPr>
    </w:p>
    <w:p w14:paraId="12FF7510" w14:textId="5D475122" w:rsidR="007F63B1" w:rsidRPr="00A2141D" w:rsidRDefault="007F63B1" w:rsidP="001366F5">
      <w:pPr>
        <w:pStyle w:val="Heading2"/>
        <w:keepNext w:val="0"/>
        <w:widowControl w:val="0"/>
        <w:numPr>
          <w:ilvl w:val="1"/>
          <w:numId w:val="7"/>
        </w:numPr>
        <w:ind w:left="851" w:hanging="851"/>
        <w:jc w:val="both"/>
        <w:rPr>
          <w:u w:val="none"/>
        </w:rPr>
      </w:pPr>
      <w:r w:rsidRPr="00A2141D">
        <w:rPr>
          <w:u w:val="none"/>
        </w:rPr>
        <w:t>At least once per term to coincide with the planning and reporting cycles of internal and financial statements and regularity audit. The internal auditors or the external auditors may request a meeting if considered necessary.</w:t>
      </w:r>
    </w:p>
    <w:p w14:paraId="14005BD2" w14:textId="77777777" w:rsidR="007F63B1" w:rsidRPr="00A2141D" w:rsidRDefault="007F63B1" w:rsidP="0092195E">
      <w:pPr>
        <w:rPr>
          <w:szCs w:val="24"/>
        </w:rPr>
      </w:pPr>
    </w:p>
    <w:p w14:paraId="6D3A8FF2" w14:textId="77777777" w:rsidR="007F63B1" w:rsidRPr="00A2141D" w:rsidRDefault="007F63B1" w:rsidP="0092195E">
      <w:pPr>
        <w:pStyle w:val="ListParagraph"/>
        <w:numPr>
          <w:ilvl w:val="0"/>
          <w:numId w:val="8"/>
        </w:numPr>
        <w:ind w:left="0"/>
        <w:jc w:val="both"/>
        <w:rPr>
          <w:rFonts w:cs="Arial"/>
          <w:vanish/>
          <w:szCs w:val="24"/>
        </w:rPr>
      </w:pPr>
    </w:p>
    <w:p w14:paraId="7AB12C66" w14:textId="77777777" w:rsidR="007F63B1" w:rsidRPr="00A2141D" w:rsidRDefault="007F63B1" w:rsidP="001366F5">
      <w:pPr>
        <w:pStyle w:val="Heading2"/>
        <w:numPr>
          <w:ilvl w:val="0"/>
          <w:numId w:val="7"/>
        </w:numPr>
        <w:ind w:left="851" w:hanging="851"/>
        <w:jc w:val="both"/>
        <w:rPr>
          <w:b w:val="0"/>
          <w:u w:val="none"/>
        </w:rPr>
      </w:pPr>
      <w:r w:rsidRPr="00A2141D">
        <w:rPr>
          <w:u w:val="none"/>
        </w:rPr>
        <w:t>Terms of Reference:</w:t>
      </w:r>
    </w:p>
    <w:p w14:paraId="7A013E10" w14:textId="77777777" w:rsidR="007F63B1" w:rsidRPr="00A2141D" w:rsidRDefault="007F63B1" w:rsidP="0092195E">
      <w:pPr>
        <w:jc w:val="both"/>
        <w:rPr>
          <w:rFonts w:cs="Arial"/>
          <w:szCs w:val="24"/>
        </w:rPr>
      </w:pPr>
    </w:p>
    <w:p w14:paraId="1CB6D324" w14:textId="77777777" w:rsidR="007F63B1" w:rsidRPr="00A2141D" w:rsidRDefault="007F63B1" w:rsidP="0092195E">
      <w:pPr>
        <w:pStyle w:val="ListParagraph"/>
        <w:numPr>
          <w:ilvl w:val="0"/>
          <w:numId w:val="8"/>
        </w:numPr>
        <w:ind w:left="0"/>
        <w:jc w:val="both"/>
        <w:rPr>
          <w:rFonts w:cs="Arial"/>
          <w:vanish/>
          <w:szCs w:val="24"/>
        </w:rPr>
      </w:pPr>
    </w:p>
    <w:p w14:paraId="2CCED223" w14:textId="77777777" w:rsidR="007F63B1" w:rsidRPr="00A2141D" w:rsidRDefault="007F63B1" w:rsidP="001366F5">
      <w:pPr>
        <w:ind w:left="993" w:hanging="284"/>
        <w:jc w:val="both"/>
        <w:rPr>
          <w:rFonts w:cs="Arial"/>
          <w:szCs w:val="24"/>
        </w:rPr>
      </w:pPr>
      <w:r w:rsidRPr="00A2141D">
        <w:rPr>
          <w:rFonts w:cs="Arial"/>
          <w:szCs w:val="24"/>
        </w:rPr>
        <w:t xml:space="preserve">  The Committee will advise and support the Corporation as follows:</w:t>
      </w:r>
    </w:p>
    <w:p w14:paraId="15605C30" w14:textId="77777777" w:rsidR="007F63B1" w:rsidRPr="00A2141D" w:rsidRDefault="007F63B1" w:rsidP="0092195E">
      <w:pPr>
        <w:ind w:firstLine="720"/>
        <w:jc w:val="both"/>
        <w:rPr>
          <w:rFonts w:cs="Arial"/>
          <w:szCs w:val="24"/>
        </w:rPr>
      </w:pPr>
    </w:p>
    <w:p w14:paraId="2CBD5E41" w14:textId="77777777" w:rsidR="007F63B1" w:rsidRPr="00A2141D" w:rsidRDefault="007F63B1" w:rsidP="001366F5">
      <w:pPr>
        <w:pStyle w:val="ListParagraph"/>
        <w:numPr>
          <w:ilvl w:val="1"/>
          <w:numId w:val="9"/>
        </w:numPr>
        <w:ind w:left="851" w:hanging="851"/>
        <w:jc w:val="both"/>
        <w:rPr>
          <w:rFonts w:cs="Arial"/>
          <w:szCs w:val="24"/>
        </w:rPr>
      </w:pPr>
      <w:r w:rsidRPr="00A2141D">
        <w:rPr>
          <w:rFonts w:cs="Arial"/>
          <w:b/>
          <w:szCs w:val="24"/>
        </w:rPr>
        <w:t>Assurance arrangements, framework of governance, risk management and control processes</w:t>
      </w:r>
    </w:p>
    <w:p w14:paraId="77D59BA8" w14:textId="77777777" w:rsidR="007F63B1" w:rsidRPr="00A2141D" w:rsidRDefault="007F63B1" w:rsidP="0092195E">
      <w:pPr>
        <w:jc w:val="both"/>
        <w:rPr>
          <w:rFonts w:cs="Arial"/>
          <w:b/>
          <w:szCs w:val="24"/>
        </w:rPr>
      </w:pPr>
    </w:p>
    <w:p w14:paraId="58C17723" w14:textId="6CFDDA49" w:rsidR="007F63B1" w:rsidRPr="00A2141D" w:rsidRDefault="007F63B1" w:rsidP="001366F5">
      <w:pPr>
        <w:pStyle w:val="ListParagraph"/>
        <w:numPr>
          <w:ilvl w:val="2"/>
          <w:numId w:val="9"/>
        </w:numPr>
        <w:ind w:left="851" w:hanging="851"/>
        <w:jc w:val="both"/>
        <w:rPr>
          <w:rFonts w:cs="Arial"/>
          <w:szCs w:val="24"/>
        </w:rPr>
      </w:pPr>
      <w:r w:rsidRPr="00A2141D">
        <w:rPr>
          <w:rFonts w:cs="Arial"/>
          <w:szCs w:val="24"/>
        </w:rPr>
        <w:t>Assess and provide the Corporation with an opinion on the adequacy and effectiveness of the Corporation's assurance arrangements</w:t>
      </w:r>
      <w:r w:rsidR="006C048C" w:rsidRPr="00A2141D">
        <w:rPr>
          <w:rFonts w:cs="Arial"/>
          <w:szCs w:val="24"/>
        </w:rPr>
        <w:t xml:space="preserve"> and</w:t>
      </w:r>
      <w:r w:rsidRPr="00A2141D">
        <w:rPr>
          <w:rFonts w:cs="Arial"/>
          <w:szCs w:val="24"/>
        </w:rPr>
        <w:t xml:space="preserve"> framework of governance, which may include the board assurance framework, risk management and control processes for the effective and efficient use of resources, solvency, and the safeguarding of assets.</w:t>
      </w:r>
    </w:p>
    <w:p w14:paraId="11046457" w14:textId="77777777" w:rsidR="007F63B1" w:rsidRPr="00A2141D" w:rsidRDefault="007F63B1" w:rsidP="0092195E">
      <w:pPr>
        <w:jc w:val="both"/>
        <w:rPr>
          <w:rFonts w:cs="Arial"/>
          <w:szCs w:val="24"/>
        </w:rPr>
      </w:pPr>
    </w:p>
    <w:p w14:paraId="708A2349" w14:textId="77777777" w:rsidR="007F63B1" w:rsidRPr="00A2141D" w:rsidRDefault="007F63B1" w:rsidP="0092195E">
      <w:pPr>
        <w:jc w:val="both"/>
        <w:rPr>
          <w:rFonts w:cs="Arial"/>
          <w:szCs w:val="24"/>
        </w:rPr>
      </w:pPr>
    </w:p>
    <w:p w14:paraId="7E78A4DF" w14:textId="77777777" w:rsidR="007F63B1" w:rsidRPr="00A2141D" w:rsidRDefault="007F63B1" w:rsidP="001366F5">
      <w:pPr>
        <w:pStyle w:val="ListParagraph"/>
        <w:numPr>
          <w:ilvl w:val="1"/>
          <w:numId w:val="9"/>
        </w:numPr>
        <w:ind w:left="851" w:hanging="851"/>
        <w:jc w:val="both"/>
        <w:rPr>
          <w:rFonts w:cs="Arial"/>
          <w:b/>
          <w:szCs w:val="24"/>
        </w:rPr>
      </w:pPr>
      <w:r w:rsidRPr="00A2141D">
        <w:rPr>
          <w:rFonts w:cs="Arial"/>
          <w:b/>
          <w:szCs w:val="24"/>
        </w:rPr>
        <w:t>Auditors and other assurance providers</w:t>
      </w:r>
    </w:p>
    <w:p w14:paraId="7559FADE" w14:textId="77777777" w:rsidR="007F63B1" w:rsidRPr="00A2141D" w:rsidRDefault="007F63B1" w:rsidP="0092195E">
      <w:pPr>
        <w:pStyle w:val="ListParagraph"/>
        <w:ind w:left="0"/>
        <w:rPr>
          <w:rFonts w:cs="Arial"/>
          <w:szCs w:val="24"/>
        </w:rPr>
      </w:pPr>
    </w:p>
    <w:p w14:paraId="17F9FA3B" w14:textId="77777777" w:rsidR="007F63B1" w:rsidRPr="00A2141D" w:rsidRDefault="007F63B1" w:rsidP="001366F5">
      <w:pPr>
        <w:pStyle w:val="ListParagraph"/>
        <w:numPr>
          <w:ilvl w:val="2"/>
          <w:numId w:val="9"/>
        </w:numPr>
        <w:ind w:left="851" w:hanging="851"/>
        <w:jc w:val="both"/>
        <w:rPr>
          <w:rFonts w:cs="Arial"/>
          <w:szCs w:val="24"/>
        </w:rPr>
      </w:pPr>
      <w:r w:rsidRPr="00A2141D">
        <w:rPr>
          <w:rFonts w:cs="Arial"/>
          <w:szCs w:val="24"/>
        </w:rPr>
        <w:t>Advise the Corporation on the appointment, reappointment, dismissal and remuneration of the external auditor, reporting accountant, internal auditor and other assurance providers (as applicable);</w:t>
      </w:r>
    </w:p>
    <w:p w14:paraId="6C016C58" w14:textId="77777777" w:rsidR="007F63B1" w:rsidRPr="00A2141D" w:rsidRDefault="007F63B1" w:rsidP="001366F5">
      <w:pPr>
        <w:pStyle w:val="ListParagraph"/>
        <w:ind w:left="851" w:hanging="851"/>
        <w:jc w:val="both"/>
        <w:rPr>
          <w:rFonts w:cs="Arial"/>
          <w:szCs w:val="24"/>
        </w:rPr>
      </w:pPr>
    </w:p>
    <w:p w14:paraId="0DA64DAE" w14:textId="77777777" w:rsidR="007F63B1" w:rsidRPr="00A2141D" w:rsidRDefault="007F63B1" w:rsidP="001366F5">
      <w:pPr>
        <w:pStyle w:val="ListParagraph"/>
        <w:numPr>
          <w:ilvl w:val="2"/>
          <w:numId w:val="9"/>
        </w:numPr>
        <w:ind w:left="851" w:hanging="851"/>
        <w:jc w:val="both"/>
        <w:rPr>
          <w:rFonts w:cs="Arial"/>
          <w:szCs w:val="24"/>
        </w:rPr>
      </w:pPr>
      <w:r w:rsidRPr="00A2141D">
        <w:rPr>
          <w:rFonts w:cs="Arial"/>
          <w:szCs w:val="24"/>
        </w:rPr>
        <w:t>Ensure there is a policy in place for the regular retendering of the external audit service (at least every five years) and advise the Corporation whether and when a competition for price and quality of the audit service is appropriate;</w:t>
      </w:r>
    </w:p>
    <w:p w14:paraId="3FFEBA4B" w14:textId="77777777" w:rsidR="007F63B1" w:rsidRPr="00A2141D" w:rsidRDefault="007F63B1" w:rsidP="001366F5">
      <w:pPr>
        <w:pStyle w:val="ListParagraph"/>
        <w:ind w:left="851" w:hanging="851"/>
        <w:jc w:val="both"/>
        <w:rPr>
          <w:rFonts w:cs="Arial"/>
          <w:szCs w:val="24"/>
        </w:rPr>
      </w:pPr>
    </w:p>
    <w:p w14:paraId="2A3D9DEC" w14:textId="77777777" w:rsidR="007F63B1" w:rsidRPr="00A2141D" w:rsidRDefault="007F63B1" w:rsidP="001366F5">
      <w:pPr>
        <w:pStyle w:val="ListParagraph"/>
        <w:numPr>
          <w:ilvl w:val="2"/>
          <w:numId w:val="9"/>
        </w:numPr>
        <w:ind w:left="851" w:hanging="851"/>
        <w:jc w:val="both"/>
        <w:rPr>
          <w:rFonts w:cs="Arial"/>
          <w:szCs w:val="24"/>
        </w:rPr>
      </w:pPr>
      <w:r w:rsidRPr="00A2141D">
        <w:rPr>
          <w:rFonts w:cs="Arial"/>
          <w:szCs w:val="24"/>
        </w:rPr>
        <w:t>Establish, in conjunction with College management, relevant annual performance measures and indicators to monitor the effectiveness of the internal auditor and the external auditor;</w:t>
      </w:r>
    </w:p>
    <w:p w14:paraId="18E035F0" w14:textId="77777777" w:rsidR="007F63B1" w:rsidRPr="00A2141D" w:rsidRDefault="007F63B1" w:rsidP="001366F5">
      <w:pPr>
        <w:ind w:left="851" w:hanging="851"/>
        <w:rPr>
          <w:rFonts w:cs="Arial"/>
          <w:szCs w:val="24"/>
        </w:rPr>
      </w:pPr>
    </w:p>
    <w:p w14:paraId="6C81EB70" w14:textId="77777777" w:rsidR="007F63B1" w:rsidRPr="00A2141D" w:rsidRDefault="007F63B1" w:rsidP="001366F5">
      <w:pPr>
        <w:pStyle w:val="ListParagraph"/>
        <w:numPr>
          <w:ilvl w:val="2"/>
          <w:numId w:val="9"/>
        </w:numPr>
        <w:ind w:left="851" w:hanging="851"/>
        <w:jc w:val="both"/>
        <w:rPr>
          <w:rFonts w:cs="Arial"/>
          <w:szCs w:val="24"/>
        </w:rPr>
      </w:pPr>
      <w:r w:rsidRPr="00A2141D">
        <w:rPr>
          <w:rFonts w:cs="Arial"/>
          <w:szCs w:val="24"/>
        </w:rPr>
        <w:t>Establish that assurance providers adhere to relevant professional standards;</w:t>
      </w:r>
    </w:p>
    <w:p w14:paraId="4F320AD1" w14:textId="77777777" w:rsidR="007F63B1" w:rsidRPr="00A2141D" w:rsidRDefault="007F63B1" w:rsidP="001366F5">
      <w:pPr>
        <w:ind w:left="851" w:hanging="851"/>
        <w:jc w:val="both"/>
        <w:rPr>
          <w:rFonts w:cs="Arial"/>
          <w:szCs w:val="24"/>
        </w:rPr>
      </w:pPr>
    </w:p>
    <w:p w14:paraId="794DDC55" w14:textId="43A48AEA" w:rsidR="004070F4" w:rsidRPr="00A2141D" w:rsidRDefault="007F63B1" w:rsidP="001366F5">
      <w:pPr>
        <w:pStyle w:val="ListParagraph"/>
        <w:numPr>
          <w:ilvl w:val="2"/>
          <w:numId w:val="9"/>
        </w:numPr>
        <w:ind w:left="851" w:hanging="851"/>
        <w:jc w:val="both"/>
        <w:rPr>
          <w:rFonts w:cs="Arial"/>
          <w:szCs w:val="24"/>
        </w:rPr>
      </w:pPr>
      <w:r w:rsidRPr="00A2141D">
        <w:rPr>
          <w:rFonts w:cs="Arial"/>
          <w:szCs w:val="24"/>
        </w:rPr>
        <w:t>A</w:t>
      </w:r>
      <w:r w:rsidR="004070F4" w:rsidRPr="00A2141D">
        <w:rPr>
          <w:rFonts w:cs="Arial"/>
          <w:szCs w:val="24"/>
        </w:rPr>
        <w:t>pprove the external audit plan and a</w:t>
      </w:r>
      <w:r w:rsidRPr="00A2141D">
        <w:rPr>
          <w:rFonts w:cs="Arial"/>
          <w:szCs w:val="24"/>
        </w:rPr>
        <w:t>dvise the Corporation on the scope and objectives of the work of the external auditor</w:t>
      </w:r>
      <w:r w:rsidR="004070F4" w:rsidRPr="00A2141D">
        <w:rPr>
          <w:rFonts w:cs="Arial"/>
          <w:szCs w:val="24"/>
        </w:rPr>
        <w:t>.</w:t>
      </w:r>
    </w:p>
    <w:p w14:paraId="3B0AA4D0" w14:textId="77777777" w:rsidR="004070F4" w:rsidRPr="00A2141D" w:rsidRDefault="004070F4" w:rsidP="001366F5">
      <w:pPr>
        <w:pStyle w:val="ListParagraph"/>
        <w:ind w:left="851" w:hanging="851"/>
        <w:rPr>
          <w:rFonts w:cs="Arial"/>
          <w:szCs w:val="24"/>
        </w:rPr>
      </w:pPr>
    </w:p>
    <w:p w14:paraId="4DD5D9C1" w14:textId="7BC7F284" w:rsidR="007F63B1" w:rsidRPr="00A2141D" w:rsidRDefault="004070F4" w:rsidP="001366F5">
      <w:pPr>
        <w:pStyle w:val="ListParagraph"/>
        <w:numPr>
          <w:ilvl w:val="2"/>
          <w:numId w:val="9"/>
        </w:numPr>
        <w:ind w:left="851" w:hanging="851"/>
        <w:jc w:val="both"/>
        <w:rPr>
          <w:rFonts w:cs="Arial"/>
          <w:szCs w:val="24"/>
        </w:rPr>
      </w:pPr>
      <w:r w:rsidRPr="00A2141D">
        <w:rPr>
          <w:rFonts w:cs="Arial"/>
          <w:szCs w:val="24"/>
        </w:rPr>
        <w:t>Advise the Corporation on the scope and objectives of the work of any r</w:t>
      </w:r>
      <w:r w:rsidR="007F63B1" w:rsidRPr="00A2141D">
        <w:rPr>
          <w:rFonts w:cs="Arial"/>
          <w:szCs w:val="24"/>
        </w:rPr>
        <w:t>eporting accountant, internal auditor and other assurance providers (as applicable);</w:t>
      </w:r>
    </w:p>
    <w:p w14:paraId="200F952F" w14:textId="77777777" w:rsidR="007F63B1" w:rsidRPr="00A2141D" w:rsidRDefault="007F63B1" w:rsidP="001366F5">
      <w:pPr>
        <w:pStyle w:val="ListParagraph"/>
        <w:ind w:left="851" w:hanging="851"/>
        <w:jc w:val="both"/>
        <w:rPr>
          <w:rFonts w:cs="Arial"/>
          <w:szCs w:val="24"/>
        </w:rPr>
      </w:pPr>
    </w:p>
    <w:p w14:paraId="10DAFE46" w14:textId="77777777" w:rsidR="007F63B1" w:rsidRPr="00A2141D" w:rsidRDefault="007F63B1" w:rsidP="001366F5">
      <w:pPr>
        <w:pStyle w:val="ListParagraph"/>
        <w:numPr>
          <w:ilvl w:val="2"/>
          <w:numId w:val="9"/>
        </w:numPr>
        <w:ind w:left="851" w:hanging="851"/>
        <w:jc w:val="both"/>
        <w:rPr>
          <w:rFonts w:cs="Arial"/>
          <w:szCs w:val="24"/>
        </w:rPr>
      </w:pPr>
      <w:r w:rsidRPr="00A2141D">
        <w:rPr>
          <w:rFonts w:cs="Arial"/>
          <w:szCs w:val="24"/>
        </w:rPr>
        <w:t>Inform the Corporation of any additional services provided by the external auditor, reporting accountant, internal auditor and other assurance providers (as applicable) and explain how independence and objectivity are safeguarded;</w:t>
      </w:r>
    </w:p>
    <w:p w14:paraId="3C5980DF" w14:textId="77777777" w:rsidR="007F63B1" w:rsidRPr="00A2141D" w:rsidRDefault="007F63B1" w:rsidP="001366F5">
      <w:pPr>
        <w:pStyle w:val="ListParagraph"/>
        <w:ind w:left="851" w:hanging="851"/>
        <w:jc w:val="both"/>
        <w:rPr>
          <w:rFonts w:cs="Arial"/>
          <w:szCs w:val="24"/>
        </w:rPr>
      </w:pPr>
    </w:p>
    <w:p w14:paraId="50B1C2C1" w14:textId="77777777" w:rsidR="007F63B1" w:rsidRPr="00A2141D" w:rsidRDefault="007F63B1" w:rsidP="001366F5">
      <w:pPr>
        <w:pStyle w:val="ListParagraph"/>
        <w:numPr>
          <w:ilvl w:val="2"/>
          <w:numId w:val="9"/>
        </w:numPr>
        <w:ind w:left="851" w:hanging="851"/>
        <w:jc w:val="both"/>
        <w:rPr>
          <w:rFonts w:cs="Arial"/>
          <w:szCs w:val="24"/>
        </w:rPr>
      </w:pPr>
      <w:r w:rsidRPr="00A2141D">
        <w:rPr>
          <w:rFonts w:cs="Arial"/>
          <w:szCs w:val="24"/>
        </w:rPr>
        <w:t>Ensure effective co-ordination between the internal auditor and the external auditor, including whether their work should be relied upon for internal audit purposes;</w:t>
      </w:r>
    </w:p>
    <w:p w14:paraId="4E89347D" w14:textId="77777777" w:rsidR="007F63B1" w:rsidRPr="00A2141D" w:rsidRDefault="007F63B1" w:rsidP="001366F5">
      <w:pPr>
        <w:pStyle w:val="ListParagraph"/>
        <w:ind w:left="851" w:hanging="851"/>
        <w:jc w:val="both"/>
        <w:rPr>
          <w:rFonts w:cs="Arial"/>
          <w:szCs w:val="24"/>
        </w:rPr>
      </w:pPr>
    </w:p>
    <w:p w14:paraId="00AF791A" w14:textId="55BDD8AA" w:rsidR="007F63B1" w:rsidRPr="00A2141D" w:rsidRDefault="007F63B1" w:rsidP="001366F5">
      <w:pPr>
        <w:pStyle w:val="ListParagraph"/>
        <w:numPr>
          <w:ilvl w:val="2"/>
          <w:numId w:val="9"/>
        </w:numPr>
        <w:ind w:left="851" w:hanging="851"/>
        <w:jc w:val="both"/>
        <w:rPr>
          <w:rFonts w:cs="Arial"/>
          <w:szCs w:val="24"/>
        </w:rPr>
      </w:pPr>
      <w:r w:rsidRPr="00A2141D">
        <w:rPr>
          <w:rFonts w:cs="Arial"/>
          <w:szCs w:val="24"/>
        </w:rPr>
        <w:t xml:space="preserve">Consider and advise the Corporation and the accounting officer on the internal audit strategy and periodic internal audit plans, forming a view on how well they reflect </w:t>
      </w:r>
      <w:r w:rsidRPr="00A2141D">
        <w:rPr>
          <w:rFonts w:cs="Arial"/>
          <w:szCs w:val="24"/>
        </w:rPr>
        <w:lastRenderedPageBreak/>
        <w:t>the Corporation’s risk exposure</w:t>
      </w:r>
      <w:r w:rsidR="004070F4" w:rsidRPr="00A2141D">
        <w:rPr>
          <w:rFonts w:cs="Arial"/>
          <w:szCs w:val="24"/>
        </w:rPr>
        <w:t>, recommending the internal audit strategy and plan for Corporation approval</w:t>
      </w:r>
      <w:r w:rsidRPr="00A2141D">
        <w:rPr>
          <w:rFonts w:cs="Arial"/>
          <w:szCs w:val="24"/>
        </w:rPr>
        <w:t>;</w:t>
      </w:r>
    </w:p>
    <w:p w14:paraId="66C59E2E" w14:textId="77777777" w:rsidR="007F63B1" w:rsidRPr="00A2141D" w:rsidRDefault="007F63B1" w:rsidP="001366F5">
      <w:pPr>
        <w:pStyle w:val="ListParagraph"/>
        <w:ind w:left="851" w:hanging="851"/>
        <w:jc w:val="both"/>
        <w:rPr>
          <w:rFonts w:cs="Arial"/>
          <w:szCs w:val="24"/>
        </w:rPr>
      </w:pPr>
    </w:p>
    <w:p w14:paraId="46522C58" w14:textId="77777777" w:rsidR="007F63B1" w:rsidRPr="00A2141D" w:rsidRDefault="007F63B1" w:rsidP="001366F5">
      <w:pPr>
        <w:pStyle w:val="ListParagraph"/>
        <w:numPr>
          <w:ilvl w:val="2"/>
          <w:numId w:val="9"/>
        </w:numPr>
        <w:ind w:left="851" w:hanging="851"/>
        <w:jc w:val="both"/>
        <w:rPr>
          <w:rFonts w:cs="Arial"/>
          <w:szCs w:val="24"/>
        </w:rPr>
      </w:pPr>
      <w:r w:rsidRPr="00A2141D">
        <w:rPr>
          <w:rFonts w:cs="Arial"/>
          <w:szCs w:val="24"/>
        </w:rPr>
        <w:t>Advise the Corporation on internal audit assignment reports and annual reports and on control issues included in the management letters of the financial statements and regularity auditors and management's responses to these;</w:t>
      </w:r>
    </w:p>
    <w:p w14:paraId="597C04E8" w14:textId="77777777" w:rsidR="007F63B1" w:rsidRPr="00A2141D" w:rsidRDefault="007F63B1" w:rsidP="001366F5">
      <w:pPr>
        <w:pStyle w:val="ListParagraph"/>
        <w:ind w:left="851" w:hanging="851"/>
        <w:jc w:val="both"/>
        <w:rPr>
          <w:rFonts w:cs="Arial"/>
          <w:szCs w:val="24"/>
        </w:rPr>
      </w:pPr>
    </w:p>
    <w:p w14:paraId="05D5296D" w14:textId="77777777" w:rsidR="007F63B1" w:rsidRPr="00A2141D" w:rsidRDefault="007F63B1" w:rsidP="001366F5">
      <w:pPr>
        <w:pStyle w:val="ListParagraph"/>
        <w:numPr>
          <w:ilvl w:val="2"/>
          <w:numId w:val="9"/>
        </w:numPr>
        <w:spacing w:after="200"/>
        <w:ind w:left="851" w:hanging="851"/>
        <w:contextualSpacing w:val="0"/>
        <w:jc w:val="both"/>
        <w:rPr>
          <w:rFonts w:cs="Arial"/>
          <w:szCs w:val="24"/>
        </w:rPr>
      </w:pPr>
      <w:r w:rsidRPr="00A2141D">
        <w:rPr>
          <w:rFonts w:cs="Arial"/>
          <w:szCs w:val="24"/>
        </w:rPr>
        <w:t>Review and consider the reports of the external auditor, reporting accountant, internal auditor and other assurance providers (as applicable) and monitor the implementation of recommendations to agreed timescales;</w:t>
      </w:r>
    </w:p>
    <w:p w14:paraId="5DA2F8B6" w14:textId="77777777" w:rsidR="007F63B1" w:rsidRPr="00A2141D" w:rsidRDefault="007F63B1" w:rsidP="001366F5">
      <w:pPr>
        <w:pStyle w:val="ListParagraph"/>
        <w:numPr>
          <w:ilvl w:val="2"/>
          <w:numId w:val="9"/>
        </w:numPr>
        <w:ind w:left="851" w:hanging="851"/>
        <w:jc w:val="both"/>
        <w:rPr>
          <w:rFonts w:cs="Arial"/>
          <w:szCs w:val="24"/>
        </w:rPr>
      </w:pPr>
      <w:r w:rsidRPr="00A2141D">
        <w:rPr>
          <w:rFonts w:cs="Arial"/>
          <w:szCs w:val="24"/>
        </w:rPr>
        <w:t>Notify the ESFA where the external auditor’s service contract is terminated, other than at the expiry of the agreed term of office.</w:t>
      </w:r>
    </w:p>
    <w:p w14:paraId="502C4E36" w14:textId="0C1B205A" w:rsidR="007F63B1" w:rsidRPr="00A2141D" w:rsidRDefault="007F63B1" w:rsidP="001366F5">
      <w:pPr>
        <w:pStyle w:val="ListParagraph"/>
        <w:ind w:left="851" w:hanging="851"/>
        <w:jc w:val="both"/>
        <w:rPr>
          <w:rFonts w:cs="Arial"/>
          <w:b/>
          <w:szCs w:val="24"/>
        </w:rPr>
      </w:pPr>
    </w:p>
    <w:p w14:paraId="07B4C815" w14:textId="77777777" w:rsidR="001366F5" w:rsidRPr="00A2141D" w:rsidRDefault="001366F5" w:rsidP="001366F5">
      <w:pPr>
        <w:pStyle w:val="ListParagraph"/>
        <w:ind w:left="851" w:hanging="851"/>
        <w:jc w:val="both"/>
        <w:rPr>
          <w:rFonts w:cs="Arial"/>
          <w:b/>
          <w:szCs w:val="24"/>
        </w:rPr>
      </w:pPr>
    </w:p>
    <w:p w14:paraId="4EC13D44" w14:textId="77777777" w:rsidR="007F63B1" w:rsidRPr="00A2141D" w:rsidRDefault="007F63B1" w:rsidP="001366F5">
      <w:pPr>
        <w:pStyle w:val="ListParagraph"/>
        <w:numPr>
          <w:ilvl w:val="1"/>
          <w:numId w:val="9"/>
        </w:numPr>
        <w:ind w:left="851" w:hanging="851"/>
        <w:jc w:val="both"/>
        <w:rPr>
          <w:rFonts w:cs="Arial"/>
          <w:b/>
          <w:szCs w:val="24"/>
        </w:rPr>
      </w:pPr>
      <w:r w:rsidRPr="00A2141D">
        <w:rPr>
          <w:rFonts w:cs="Arial"/>
          <w:b/>
          <w:szCs w:val="24"/>
        </w:rPr>
        <w:t>External reports and guidance</w:t>
      </w:r>
    </w:p>
    <w:p w14:paraId="665836C3" w14:textId="77777777" w:rsidR="007F63B1" w:rsidRPr="00A2141D" w:rsidRDefault="007F63B1" w:rsidP="0092195E">
      <w:pPr>
        <w:pStyle w:val="ListParagraph"/>
        <w:ind w:left="0"/>
        <w:jc w:val="both"/>
        <w:rPr>
          <w:rFonts w:cs="Arial"/>
          <w:szCs w:val="24"/>
        </w:rPr>
      </w:pPr>
    </w:p>
    <w:p w14:paraId="6139C79B" w14:textId="6F2DDB54" w:rsidR="007F63B1" w:rsidRPr="00A2141D" w:rsidRDefault="007F63B1" w:rsidP="001366F5">
      <w:pPr>
        <w:pStyle w:val="ListParagraph"/>
        <w:widowControl w:val="0"/>
        <w:numPr>
          <w:ilvl w:val="2"/>
          <w:numId w:val="9"/>
        </w:numPr>
        <w:ind w:left="851" w:hanging="851"/>
        <w:jc w:val="both"/>
        <w:rPr>
          <w:rFonts w:cs="Arial"/>
          <w:szCs w:val="24"/>
        </w:rPr>
      </w:pPr>
      <w:r w:rsidRPr="00A2141D">
        <w:rPr>
          <w:rFonts w:cs="Arial"/>
          <w:szCs w:val="24"/>
        </w:rPr>
        <w:t>Consider and advise the Corporation on relevant reports by the National Audit Office, the ESFA and other funding bodies, and where appropriate, management's response.</w:t>
      </w:r>
    </w:p>
    <w:p w14:paraId="4D442318" w14:textId="77777777" w:rsidR="004070F4" w:rsidRPr="00A2141D" w:rsidRDefault="004070F4" w:rsidP="004070F4">
      <w:pPr>
        <w:pStyle w:val="ListParagraph"/>
        <w:widowControl w:val="0"/>
        <w:ind w:left="1276"/>
        <w:jc w:val="both"/>
        <w:rPr>
          <w:rFonts w:cs="Arial"/>
          <w:szCs w:val="24"/>
        </w:rPr>
      </w:pPr>
    </w:p>
    <w:p w14:paraId="4B8D4E09" w14:textId="77777777" w:rsidR="007F63B1" w:rsidRPr="00A2141D" w:rsidRDefault="007F63B1" w:rsidP="001366F5">
      <w:pPr>
        <w:pStyle w:val="ListParagraph"/>
        <w:numPr>
          <w:ilvl w:val="1"/>
          <w:numId w:val="9"/>
        </w:numPr>
        <w:ind w:left="851" w:hanging="851"/>
        <w:jc w:val="both"/>
        <w:rPr>
          <w:rFonts w:cs="Arial"/>
          <w:b/>
          <w:szCs w:val="24"/>
        </w:rPr>
      </w:pPr>
      <w:r w:rsidRPr="00A2141D">
        <w:rPr>
          <w:rFonts w:cs="Arial"/>
          <w:b/>
          <w:szCs w:val="24"/>
        </w:rPr>
        <w:t>Fraud, irregularity, impropriety and whistleblowing</w:t>
      </w:r>
    </w:p>
    <w:p w14:paraId="06F77D0D" w14:textId="77777777" w:rsidR="007F63B1" w:rsidRPr="00A2141D" w:rsidRDefault="007F63B1" w:rsidP="0092195E">
      <w:pPr>
        <w:rPr>
          <w:szCs w:val="24"/>
        </w:rPr>
      </w:pPr>
    </w:p>
    <w:p w14:paraId="5F850921" w14:textId="77777777" w:rsidR="007F63B1" w:rsidRPr="00A2141D" w:rsidRDefault="007F63B1" w:rsidP="001366F5">
      <w:pPr>
        <w:pStyle w:val="ListParagraph"/>
        <w:numPr>
          <w:ilvl w:val="2"/>
          <w:numId w:val="9"/>
        </w:numPr>
        <w:ind w:left="851" w:hanging="851"/>
        <w:jc w:val="both"/>
        <w:rPr>
          <w:rFonts w:cs="Arial"/>
          <w:szCs w:val="24"/>
        </w:rPr>
      </w:pPr>
      <w:r w:rsidRPr="00A2141D">
        <w:rPr>
          <w:rFonts w:cs="Arial"/>
          <w:szCs w:val="24"/>
        </w:rPr>
        <w:t>Oversee the Corporation’s policies on and processes around fraud, irregularity, impropriety and whistleblowing and ensure that:</w:t>
      </w:r>
    </w:p>
    <w:p w14:paraId="0DBC13AE" w14:textId="77777777" w:rsidR="007F63B1" w:rsidRPr="00A2141D" w:rsidRDefault="007F63B1" w:rsidP="001366F5">
      <w:pPr>
        <w:pStyle w:val="Default"/>
        <w:numPr>
          <w:ilvl w:val="0"/>
          <w:numId w:val="1"/>
        </w:numPr>
        <w:spacing w:before="100" w:after="100"/>
        <w:ind w:left="1134" w:hanging="284"/>
      </w:pPr>
      <w:r w:rsidRPr="00A2141D">
        <w:t>there is proper, proportionate and independent investigation of all allegations and instances of fraud and irregularity (including bribery);</w:t>
      </w:r>
    </w:p>
    <w:p w14:paraId="034BA1C7" w14:textId="77777777" w:rsidR="007F63B1" w:rsidRPr="00A2141D" w:rsidRDefault="007F63B1" w:rsidP="001366F5">
      <w:pPr>
        <w:pStyle w:val="Default"/>
        <w:numPr>
          <w:ilvl w:val="0"/>
          <w:numId w:val="1"/>
        </w:numPr>
        <w:spacing w:after="100"/>
        <w:ind w:left="1134" w:hanging="283"/>
      </w:pPr>
      <w:r w:rsidRPr="00A2141D">
        <w:t>investigation outcomes are reported to the Committee;</w:t>
      </w:r>
    </w:p>
    <w:p w14:paraId="0789FF2D" w14:textId="77777777" w:rsidR="007F63B1" w:rsidRPr="00A2141D" w:rsidRDefault="007F63B1" w:rsidP="001366F5">
      <w:pPr>
        <w:pStyle w:val="Default"/>
        <w:numPr>
          <w:ilvl w:val="0"/>
          <w:numId w:val="1"/>
        </w:numPr>
        <w:spacing w:after="100"/>
        <w:ind w:left="1134" w:hanging="283"/>
      </w:pPr>
      <w:r w:rsidRPr="00A2141D">
        <w:t>the external auditor and internal auditor are informed of investigation outcomes and other matters of fraud, irregularity and impropriety and that appropriate follow-up action has been planned/actioned;</w:t>
      </w:r>
    </w:p>
    <w:p w14:paraId="540F1773" w14:textId="4C4F7D74" w:rsidR="007F63B1" w:rsidRPr="00A2141D" w:rsidRDefault="007F63B1" w:rsidP="001366F5">
      <w:pPr>
        <w:pStyle w:val="Default"/>
        <w:numPr>
          <w:ilvl w:val="0"/>
          <w:numId w:val="1"/>
        </w:numPr>
        <w:spacing w:after="100"/>
        <w:ind w:left="1134" w:hanging="283"/>
      </w:pPr>
      <w:r w:rsidRPr="00A2141D">
        <w:t>all significant cases of fraud or suspected fraud</w:t>
      </w:r>
      <w:r w:rsidR="00C53FEA" w:rsidRPr="00A2141D">
        <w:t xml:space="preserve"> (as defined at para 54 of the ACOP)</w:t>
      </w:r>
      <w:r w:rsidRPr="00A2141D">
        <w:t xml:space="preserve">, theft, bribery, corruption, irregularity, major weakness or breakdown in the accounting or other control framework are reported to the Education and Skills Funding Agency (“ESFA”), any other relevant funding authority and the College’s principal charity regulator (as appropriate); </w:t>
      </w:r>
    </w:p>
    <w:p w14:paraId="620366CA" w14:textId="77777777" w:rsidR="007F63B1" w:rsidRPr="00A2141D" w:rsidRDefault="007F63B1" w:rsidP="001366F5">
      <w:pPr>
        <w:pStyle w:val="Default"/>
        <w:numPr>
          <w:ilvl w:val="0"/>
          <w:numId w:val="1"/>
        </w:numPr>
        <w:ind w:left="1134" w:hanging="283"/>
        <w:contextualSpacing/>
      </w:pPr>
      <w:r w:rsidRPr="00A2141D">
        <w:t>risks around fraud have been identified and controls put in place to mitigate them.</w:t>
      </w:r>
    </w:p>
    <w:p w14:paraId="378B4400" w14:textId="77777777" w:rsidR="007F63B1" w:rsidRPr="00A2141D" w:rsidRDefault="007F63B1" w:rsidP="0092195E">
      <w:pPr>
        <w:pStyle w:val="Default"/>
        <w:contextualSpacing/>
      </w:pPr>
    </w:p>
    <w:p w14:paraId="74BC8E10" w14:textId="77777777" w:rsidR="007F63B1" w:rsidRPr="00A2141D" w:rsidRDefault="007F63B1" w:rsidP="001366F5">
      <w:pPr>
        <w:pStyle w:val="ListParagraph"/>
        <w:numPr>
          <w:ilvl w:val="1"/>
          <w:numId w:val="9"/>
        </w:numPr>
        <w:ind w:left="851" w:hanging="851"/>
        <w:jc w:val="both"/>
        <w:rPr>
          <w:rFonts w:cs="Arial"/>
          <w:b/>
          <w:szCs w:val="24"/>
        </w:rPr>
      </w:pPr>
      <w:r w:rsidRPr="00A2141D">
        <w:rPr>
          <w:rFonts w:cs="Arial"/>
          <w:b/>
          <w:szCs w:val="24"/>
        </w:rPr>
        <w:t>Financial Regulations</w:t>
      </w:r>
    </w:p>
    <w:p w14:paraId="00A2E265" w14:textId="77777777" w:rsidR="007F63B1" w:rsidRPr="00A2141D" w:rsidRDefault="007F63B1" w:rsidP="0092195E">
      <w:pPr>
        <w:pStyle w:val="ListParagraph"/>
        <w:ind w:left="0"/>
        <w:jc w:val="both"/>
        <w:rPr>
          <w:rFonts w:cs="Arial"/>
          <w:b/>
          <w:szCs w:val="24"/>
        </w:rPr>
      </w:pPr>
    </w:p>
    <w:p w14:paraId="03D3E36F" w14:textId="77777777" w:rsidR="007F63B1" w:rsidRPr="00A2141D" w:rsidRDefault="007F63B1" w:rsidP="001366F5">
      <w:pPr>
        <w:pStyle w:val="ListParagraph"/>
        <w:numPr>
          <w:ilvl w:val="2"/>
          <w:numId w:val="9"/>
        </w:numPr>
        <w:ind w:left="851" w:hanging="851"/>
        <w:jc w:val="both"/>
        <w:rPr>
          <w:rFonts w:cs="Arial"/>
          <w:szCs w:val="24"/>
        </w:rPr>
      </w:pPr>
      <w:r w:rsidRPr="00A2141D">
        <w:rPr>
          <w:rFonts w:cs="Arial"/>
          <w:szCs w:val="24"/>
        </w:rPr>
        <w:t>Maintain a continuous review of the Financial Regulations through the Executive Director of Finance, advising the Corporation of any additions or changes necessary;</w:t>
      </w:r>
    </w:p>
    <w:p w14:paraId="72C8C947" w14:textId="77777777" w:rsidR="007F63B1" w:rsidRPr="00A2141D" w:rsidRDefault="007F63B1" w:rsidP="001366F5">
      <w:pPr>
        <w:pStyle w:val="ListParagraph"/>
        <w:ind w:left="851" w:hanging="851"/>
        <w:jc w:val="both"/>
        <w:rPr>
          <w:rFonts w:cs="Arial"/>
          <w:szCs w:val="24"/>
        </w:rPr>
      </w:pPr>
    </w:p>
    <w:p w14:paraId="1BDE97B9" w14:textId="77777777" w:rsidR="007F63B1" w:rsidRPr="00A2141D" w:rsidRDefault="007F63B1" w:rsidP="001366F5">
      <w:pPr>
        <w:pStyle w:val="ListParagraph"/>
        <w:numPr>
          <w:ilvl w:val="2"/>
          <w:numId w:val="9"/>
        </w:numPr>
        <w:ind w:left="851" w:hanging="851"/>
        <w:jc w:val="both"/>
        <w:rPr>
          <w:rFonts w:cs="Arial"/>
          <w:szCs w:val="24"/>
        </w:rPr>
      </w:pPr>
      <w:r w:rsidRPr="00A2141D">
        <w:rPr>
          <w:rFonts w:cs="Arial"/>
          <w:szCs w:val="24"/>
        </w:rPr>
        <w:t>In exceptional circumstances, authorise a departure from the Financial Regulations, to be reported to the Corporation without delay;</w:t>
      </w:r>
    </w:p>
    <w:p w14:paraId="456F5039" w14:textId="77777777" w:rsidR="007F63B1" w:rsidRPr="00A2141D" w:rsidRDefault="007F63B1" w:rsidP="001366F5">
      <w:pPr>
        <w:pStyle w:val="ListParagraph"/>
        <w:ind w:left="851" w:hanging="851"/>
        <w:jc w:val="both"/>
        <w:rPr>
          <w:rFonts w:cs="Arial"/>
          <w:szCs w:val="24"/>
        </w:rPr>
      </w:pPr>
    </w:p>
    <w:p w14:paraId="5A658780" w14:textId="77777777" w:rsidR="007F63B1" w:rsidRPr="00A2141D" w:rsidRDefault="007F63B1" w:rsidP="001366F5">
      <w:pPr>
        <w:pStyle w:val="ListParagraph"/>
        <w:numPr>
          <w:ilvl w:val="2"/>
          <w:numId w:val="9"/>
        </w:numPr>
        <w:ind w:left="851" w:hanging="851"/>
        <w:jc w:val="both"/>
        <w:rPr>
          <w:rFonts w:cs="Arial"/>
          <w:szCs w:val="24"/>
        </w:rPr>
      </w:pPr>
      <w:r w:rsidRPr="00A2141D">
        <w:rPr>
          <w:rFonts w:cs="Arial"/>
          <w:szCs w:val="24"/>
        </w:rPr>
        <w:lastRenderedPageBreak/>
        <w:t>Notify the Corporation of any breach of the Financial Regulations which results in disciplinary action against a member of staff under the Disciplinary Policy.</w:t>
      </w:r>
    </w:p>
    <w:p w14:paraId="040C2FD1" w14:textId="77777777" w:rsidR="007F63B1" w:rsidRPr="00A2141D" w:rsidRDefault="007F63B1" w:rsidP="0092195E">
      <w:pPr>
        <w:pStyle w:val="ListParagraph"/>
        <w:ind w:left="0"/>
        <w:rPr>
          <w:rFonts w:cs="Arial"/>
          <w:szCs w:val="24"/>
        </w:rPr>
      </w:pPr>
    </w:p>
    <w:p w14:paraId="62931122" w14:textId="77777777" w:rsidR="007F63B1" w:rsidRPr="00A2141D" w:rsidRDefault="007F63B1" w:rsidP="001366F5">
      <w:pPr>
        <w:pStyle w:val="ListParagraph"/>
        <w:numPr>
          <w:ilvl w:val="1"/>
          <w:numId w:val="9"/>
        </w:numPr>
        <w:ind w:left="851" w:hanging="851"/>
        <w:jc w:val="both"/>
        <w:rPr>
          <w:rFonts w:cs="Arial"/>
          <w:b/>
          <w:szCs w:val="24"/>
        </w:rPr>
      </w:pPr>
      <w:r w:rsidRPr="00A2141D">
        <w:rPr>
          <w:rFonts w:cs="Arial"/>
          <w:b/>
          <w:szCs w:val="24"/>
        </w:rPr>
        <w:t>Value for Money</w:t>
      </w:r>
    </w:p>
    <w:p w14:paraId="3F0525A3" w14:textId="77777777" w:rsidR="007F63B1" w:rsidRPr="00A2141D" w:rsidRDefault="007F63B1" w:rsidP="0092195E">
      <w:pPr>
        <w:pStyle w:val="ListParagraph"/>
        <w:ind w:left="0"/>
        <w:jc w:val="both"/>
        <w:rPr>
          <w:rFonts w:cs="Arial"/>
          <w:szCs w:val="24"/>
        </w:rPr>
      </w:pPr>
    </w:p>
    <w:p w14:paraId="4381A15A" w14:textId="77777777" w:rsidR="007F63B1" w:rsidRPr="00A2141D" w:rsidRDefault="007F63B1" w:rsidP="001366F5">
      <w:pPr>
        <w:pStyle w:val="ListParagraph"/>
        <w:numPr>
          <w:ilvl w:val="2"/>
          <w:numId w:val="9"/>
        </w:numPr>
        <w:ind w:left="851" w:hanging="851"/>
        <w:jc w:val="both"/>
        <w:rPr>
          <w:rFonts w:cs="Arial"/>
          <w:szCs w:val="24"/>
        </w:rPr>
      </w:pPr>
      <w:r w:rsidRPr="00A2141D">
        <w:rPr>
          <w:rFonts w:cs="Arial"/>
          <w:szCs w:val="24"/>
        </w:rPr>
        <w:t>Monitor whether satisfactory arrangements are in place to promote economy, efficiency and effectiveness;</w:t>
      </w:r>
    </w:p>
    <w:p w14:paraId="5F17C9F1" w14:textId="77777777" w:rsidR="007F63B1" w:rsidRPr="00A2141D" w:rsidRDefault="007F63B1" w:rsidP="0092195E">
      <w:pPr>
        <w:rPr>
          <w:rFonts w:cs="Arial"/>
          <w:b/>
          <w:szCs w:val="24"/>
        </w:rPr>
      </w:pPr>
    </w:p>
    <w:p w14:paraId="2EAB10FF" w14:textId="77777777" w:rsidR="007F63B1" w:rsidRPr="00A2141D" w:rsidRDefault="007F63B1" w:rsidP="001366F5">
      <w:pPr>
        <w:pStyle w:val="ListParagraph"/>
        <w:numPr>
          <w:ilvl w:val="1"/>
          <w:numId w:val="9"/>
        </w:numPr>
        <w:ind w:left="851" w:hanging="851"/>
        <w:jc w:val="both"/>
        <w:rPr>
          <w:rFonts w:cs="Arial"/>
          <w:b/>
          <w:szCs w:val="24"/>
        </w:rPr>
      </w:pPr>
      <w:r w:rsidRPr="00A2141D">
        <w:rPr>
          <w:rFonts w:cs="Arial"/>
          <w:b/>
          <w:szCs w:val="24"/>
        </w:rPr>
        <w:t>On a Merger or Dissolution of the College</w:t>
      </w:r>
    </w:p>
    <w:p w14:paraId="73B7D66F" w14:textId="77777777" w:rsidR="007F63B1" w:rsidRPr="00A2141D" w:rsidRDefault="007F63B1" w:rsidP="0092195E">
      <w:pPr>
        <w:pStyle w:val="ListParagraph"/>
        <w:ind w:left="0"/>
        <w:rPr>
          <w:rFonts w:cs="Arial"/>
          <w:b/>
          <w:szCs w:val="24"/>
        </w:rPr>
      </w:pPr>
    </w:p>
    <w:p w14:paraId="6EAA4B52" w14:textId="60CF1687" w:rsidR="007F63B1" w:rsidRPr="00A2141D" w:rsidRDefault="007F63B1" w:rsidP="001366F5">
      <w:pPr>
        <w:pStyle w:val="ListParagraph"/>
        <w:numPr>
          <w:ilvl w:val="2"/>
          <w:numId w:val="9"/>
        </w:numPr>
        <w:ind w:left="851" w:hanging="851"/>
        <w:jc w:val="both"/>
        <w:rPr>
          <w:rFonts w:cs="Arial"/>
          <w:szCs w:val="24"/>
        </w:rPr>
      </w:pPr>
      <w:r w:rsidRPr="00A2141D">
        <w:rPr>
          <w:rFonts w:cs="Arial"/>
          <w:szCs w:val="24"/>
        </w:rPr>
        <w:t>In the event of the merger or dissolution, ensure that the necessary actions are completed, including arranging for a final set of financial statements to be completed and signed.</w:t>
      </w:r>
    </w:p>
    <w:p w14:paraId="03A02039" w14:textId="77777777" w:rsidR="007F63B1" w:rsidRPr="00A2141D" w:rsidRDefault="007F63B1" w:rsidP="0092195E">
      <w:pPr>
        <w:pStyle w:val="ListParagraph"/>
        <w:ind w:left="0"/>
        <w:jc w:val="both"/>
        <w:rPr>
          <w:rFonts w:cs="Arial"/>
          <w:szCs w:val="24"/>
        </w:rPr>
      </w:pPr>
    </w:p>
    <w:p w14:paraId="16187151" w14:textId="77777777" w:rsidR="007F63B1" w:rsidRPr="00A2141D" w:rsidRDefault="007F63B1" w:rsidP="001366F5">
      <w:pPr>
        <w:pStyle w:val="ListParagraph"/>
        <w:numPr>
          <w:ilvl w:val="1"/>
          <w:numId w:val="9"/>
        </w:numPr>
        <w:ind w:left="851" w:hanging="851"/>
        <w:jc w:val="both"/>
        <w:rPr>
          <w:rFonts w:cs="Arial"/>
          <w:b/>
          <w:szCs w:val="24"/>
        </w:rPr>
      </w:pPr>
      <w:r w:rsidRPr="00A2141D">
        <w:rPr>
          <w:rFonts w:cs="Arial"/>
          <w:b/>
          <w:szCs w:val="24"/>
        </w:rPr>
        <w:t>Additional Matters</w:t>
      </w:r>
    </w:p>
    <w:p w14:paraId="42BFF2E3" w14:textId="77777777" w:rsidR="007F63B1" w:rsidRPr="00A2141D" w:rsidRDefault="007F63B1" w:rsidP="0092195E">
      <w:pPr>
        <w:pStyle w:val="ListParagraph"/>
        <w:ind w:left="0"/>
        <w:jc w:val="both"/>
        <w:rPr>
          <w:rFonts w:cs="Arial"/>
          <w:b/>
          <w:szCs w:val="24"/>
        </w:rPr>
      </w:pPr>
    </w:p>
    <w:p w14:paraId="32F9AB4B" w14:textId="76509F86" w:rsidR="006D4A3B" w:rsidRPr="00A2141D" w:rsidRDefault="006D4A3B" w:rsidP="001366F5">
      <w:pPr>
        <w:pStyle w:val="ListParagraph"/>
        <w:numPr>
          <w:ilvl w:val="2"/>
          <w:numId w:val="9"/>
        </w:numPr>
        <w:ind w:left="851" w:hanging="851"/>
        <w:rPr>
          <w:rFonts w:cs="Arial"/>
          <w:szCs w:val="24"/>
        </w:rPr>
      </w:pPr>
      <w:r w:rsidRPr="00A2141D">
        <w:rPr>
          <w:rFonts w:cs="Arial"/>
          <w:szCs w:val="24"/>
        </w:rPr>
        <w:t>To oversee compliance with the conditions of funding;</w:t>
      </w:r>
      <w:r w:rsidRPr="00A2141D">
        <w:rPr>
          <w:rFonts w:cs="Arial"/>
          <w:szCs w:val="24"/>
        </w:rPr>
        <w:br/>
      </w:r>
    </w:p>
    <w:p w14:paraId="58D5CCB9" w14:textId="1D1E6AF3" w:rsidR="007F63B1" w:rsidRPr="00A2141D" w:rsidRDefault="007F63B1" w:rsidP="001366F5">
      <w:pPr>
        <w:pStyle w:val="ListParagraph"/>
        <w:numPr>
          <w:ilvl w:val="2"/>
          <w:numId w:val="9"/>
        </w:numPr>
        <w:ind w:left="851" w:hanging="851"/>
        <w:jc w:val="both"/>
        <w:rPr>
          <w:rFonts w:cs="Arial"/>
          <w:szCs w:val="24"/>
        </w:rPr>
      </w:pPr>
      <w:r w:rsidRPr="00A2141D">
        <w:rPr>
          <w:rFonts w:cs="Arial"/>
          <w:szCs w:val="24"/>
        </w:rPr>
        <w:t>Advise the Corporation on data protection compliance, including oversight of any reportable breaches or serious concerns;</w:t>
      </w:r>
    </w:p>
    <w:p w14:paraId="0A07DADC" w14:textId="77777777" w:rsidR="007F63B1" w:rsidRPr="00A2141D" w:rsidRDefault="007F63B1" w:rsidP="001366F5">
      <w:pPr>
        <w:pStyle w:val="ListParagraph"/>
        <w:ind w:left="851" w:hanging="851"/>
        <w:jc w:val="both"/>
        <w:rPr>
          <w:rFonts w:cs="Arial"/>
          <w:szCs w:val="24"/>
        </w:rPr>
      </w:pPr>
    </w:p>
    <w:p w14:paraId="1D1BC261" w14:textId="77777777" w:rsidR="007F63B1" w:rsidRPr="00A2141D" w:rsidRDefault="007F63B1" w:rsidP="001366F5">
      <w:pPr>
        <w:pStyle w:val="ListParagraph"/>
        <w:ind w:left="851" w:hanging="851"/>
        <w:jc w:val="both"/>
        <w:rPr>
          <w:rFonts w:cs="Arial"/>
          <w:szCs w:val="24"/>
        </w:rPr>
      </w:pPr>
    </w:p>
    <w:p w14:paraId="4CFCCFAA" w14:textId="77777777" w:rsidR="007F63B1" w:rsidRPr="00A2141D" w:rsidRDefault="007F63B1" w:rsidP="001366F5">
      <w:pPr>
        <w:pStyle w:val="ListParagraph"/>
        <w:numPr>
          <w:ilvl w:val="2"/>
          <w:numId w:val="9"/>
        </w:numPr>
        <w:ind w:left="851" w:hanging="851"/>
        <w:jc w:val="both"/>
        <w:rPr>
          <w:rFonts w:cs="Arial"/>
          <w:szCs w:val="24"/>
        </w:rPr>
      </w:pPr>
      <w:r w:rsidRPr="00A2141D">
        <w:rPr>
          <w:rFonts w:cs="Arial"/>
          <w:szCs w:val="24"/>
        </w:rPr>
        <w:t>Ensure effective arrangements are in place for the management and quality assurance of data;</w:t>
      </w:r>
    </w:p>
    <w:p w14:paraId="19B79117" w14:textId="77777777" w:rsidR="007F63B1" w:rsidRPr="00A2141D" w:rsidRDefault="007F63B1" w:rsidP="001366F5">
      <w:pPr>
        <w:pStyle w:val="ListParagraph"/>
        <w:ind w:left="851" w:hanging="851"/>
        <w:rPr>
          <w:rFonts w:cs="Arial"/>
          <w:szCs w:val="24"/>
        </w:rPr>
      </w:pPr>
    </w:p>
    <w:p w14:paraId="3245DB26" w14:textId="77777777" w:rsidR="007F63B1" w:rsidRPr="00A2141D" w:rsidRDefault="007F63B1" w:rsidP="001366F5">
      <w:pPr>
        <w:pStyle w:val="ListParagraph"/>
        <w:numPr>
          <w:ilvl w:val="2"/>
          <w:numId w:val="9"/>
        </w:numPr>
        <w:ind w:left="851" w:hanging="851"/>
        <w:jc w:val="both"/>
        <w:rPr>
          <w:rFonts w:cs="Arial"/>
          <w:szCs w:val="24"/>
        </w:rPr>
      </w:pPr>
      <w:r w:rsidRPr="00A2141D">
        <w:rPr>
          <w:rFonts w:cs="Arial"/>
          <w:szCs w:val="24"/>
        </w:rPr>
        <w:t>Advise the Corporation on health &amp; safety compliance, having oversight of any reportable incidents or serious concerns;</w:t>
      </w:r>
    </w:p>
    <w:p w14:paraId="3CF518B2" w14:textId="77777777" w:rsidR="007F63B1" w:rsidRPr="00A2141D" w:rsidRDefault="007F63B1" w:rsidP="001366F5">
      <w:pPr>
        <w:pStyle w:val="ListParagraph"/>
        <w:ind w:left="851" w:hanging="851"/>
        <w:rPr>
          <w:rFonts w:cs="Arial"/>
          <w:szCs w:val="24"/>
        </w:rPr>
      </w:pPr>
    </w:p>
    <w:p w14:paraId="21C140FA" w14:textId="511515E7" w:rsidR="007F63B1" w:rsidRPr="00A2141D" w:rsidRDefault="007F63B1" w:rsidP="001366F5">
      <w:pPr>
        <w:pStyle w:val="ListParagraph"/>
        <w:numPr>
          <w:ilvl w:val="2"/>
          <w:numId w:val="9"/>
        </w:numPr>
        <w:ind w:left="851" w:hanging="851"/>
        <w:jc w:val="both"/>
        <w:rPr>
          <w:rFonts w:cs="Arial"/>
          <w:szCs w:val="24"/>
        </w:rPr>
      </w:pPr>
      <w:r w:rsidRPr="00A2141D">
        <w:rPr>
          <w:rFonts w:cs="Arial"/>
          <w:szCs w:val="24"/>
        </w:rPr>
        <w:t>Advise the Corporation on any other issues or matters in respect of which the Corporation has requested the Committee’s opinion.</w:t>
      </w:r>
    </w:p>
    <w:p w14:paraId="6F3CD853" w14:textId="77777777" w:rsidR="0092195E" w:rsidRPr="00A2141D" w:rsidRDefault="0092195E" w:rsidP="0092195E">
      <w:pPr>
        <w:pStyle w:val="ListParagraph"/>
        <w:rPr>
          <w:rFonts w:cs="Arial"/>
          <w:szCs w:val="24"/>
        </w:rPr>
      </w:pPr>
    </w:p>
    <w:p w14:paraId="0DE68845" w14:textId="77777777" w:rsidR="007F63B1" w:rsidRPr="00A2141D" w:rsidRDefault="007F63B1" w:rsidP="0092195E">
      <w:pPr>
        <w:pStyle w:val="ListParagraph"/>
        <w:ind w:left="0"/>
        <w:jc w:val="both"/>
        <w:rPr>
          <w:rFonts w:cs="Arial"/>
          <w:szCs w:val="24"/>
        </w:rPr>
      </w:pPr>
    </w:p>
    <w:p w14:paraId="6006838D" w14:textId="77777777" w:rsidR="007F63B1" w:rsidRPr="00A2141D" w:rsidRDefault="007F63B1" w:rsidP="0092195E">
      <w:pPr>
        <w:pStyle w:val="ListParagraph"/>
        <w:ind w:left="0"/>
        <w:rPr>
          <w:rFonts w:cs="Arial"/>
          <w:szCs w:val="24"/>
        </w:rPr>
      </w:pPr>
    </w:p>
    <w:p w14:paraId="74F192CF" w14:textId="77777777" w:rsidR="007F63B1" w:rsidRPr="00A2141D" w:rsidRDefault="007F63B1" w:rsidP="001366F5">
      <w:pPr>
        <w:pStyle w:val="ListParagraph"/>
        <w:numPr>
          <w:ilvl w:val="1"/>
          <w:numId w:val="9"/>
        </w:numPr>
        <w:ind w:left="851" w:hanging="851"/>
        <w:jc w:val="both"/>
        <w:rPr>
          <w:rFonts w:cs="Arial"/>
          <w:b/>
          <w:szCs w:val="24"/>
        </w:rPr>
      </w:pPr>
      <w:r w:rsidRPr="00A2141D">
        <w:rPr>
          <w:rFonts w:cs="Arial"/>
          <w:b/>
          <w:szCs w:val="24"/>
        </w:rPr>
        <w:t>Annual Report</w:t>
      </w:r>
    </w:p>
    <w:p w14:paraId="729A0030" w14:textId="77777777" w:rsidR="007F63B1" w:rsidRPr="00A2141D" w:rsidRDefault="007F63B1" w:rsidP="0092195E">
      <w:pPr>
        <w:pStyle w:val="ListParagraph"/>
        <w:ind w:left="0"/>
        <w:jc w:val="both"/>
        <w:rPr>
          <w:rFonts w:cs="Arial"/>
          <w:b/>
          <w:szCs w:val="24"/>
        </w:rPr>
      </w:pPr>
    </w:p>
    <w:p w14:paraId="19062E58" w14:textId="77777777" w:rsidR="007F63B1" w:rsidRPr="00A2141D" w:rsidRDefault="007F63B1" w:rsidP="001366F5">
      <w:pPr>
        <w:pStyle w:val="ListParagraph"/>
        <w:widowControl w:val="0"/>
        <w:numPr>
          <w:ilvl w:val="2"/>
          <w:numId w:val="9"/>
        </w:numPr>
        <w:ind w:left="851" w:hanging="851"/>
        <w:contextualSpacing w:val="0"/>
        <w:jc w:val="both"/>
        <w:rPr>
          <w:rFonts w:cs="Arial"/>
          <w:szCs w:val="24"/>
        </w:rPr>
      </w:pPr>
      <w:r w:rsidRPr="00A2141D">
        <w:rPr>
          <w:rFonts w:cs="Arial"/>
          <w:szCs w:val="24"/>
        </w:rPr>
        <w:t xml:space="preserve">Submit an annual report for the Corporation, summarising the Committee’s activities relating to the financial year under review, including: </w:t>
      </w:r>
    </w:p>
    <w:p w14:paraId="1D2CB805" w14:textId="77777777" w:rsidR="007F63B1" w:rsidRPr="00A2141D" w:rsidRDefault="007F63B1" w:rsidP="0092195E">
      <w:pPr>
        <w:ind w:hanging="720"/>
        <w:jc w:val="both"/>
        <w:rPr>
          <w:rFonts w:cs="Arial"/>
          <w:szCs w:val="24"/>
        </w:rPr>
      </w:pPr>
    </w:p>
    <w:p w14:paraId="579C4752" w14:textId="77777777" w:rsidR="007F63B1" w:rsidRPr="00A2141D" w:rsidRDefault="007F63B1" w:rsidP="001366F5">
      <w:pPr>
        <w:pStyle w:val="Default"/>
        <w:numPr>
          <w:ilvl w:val="0"/>
          <w:numId w:val="1"/>
        </w:numPr>
        <w:spacing w:after="100"/>
        <w:ind w:left="1134" w:hanging="283"/>
      </w:pPr>
      <w:r w:rsidRPr="00A2141D">
        <w:t xml:space="preserve">a summary of the work undertaken by the Committee; </w:t>
      </w:r>
    </w:p>
    <w:p w14:paraId="2168F4C6" w14:textId="77777777" w:rsidR="007F63B1" w:rsidRPr="00A2141D" w:rsidRDefault="007F63B1" w:rsidP="001366F5">
      <w:pPr>
        <w:pStyle w:val="Default"/>
        <w:numPr>
          <w:ilvl w:val="0"/>
          <w:numId w:val="1"/>
        </w:numPr>
        <w:spacing w:after="100"/>
        <w:ind w:left="1134" w:right="144" w:hanging="283"/>
      </w:pPr>
      <w:r w:rsidRPr="00A2141D">
        <w:t>the number of meetings held, with an explanation where any meetings could not be held, and attendance records for each Committee member;</w:t>
      </w:r>
    </w:p>
    <w:p w14:paraId="52831D8E" w14:textId="77777777" w:rsidR="007F63B1" w:rsidRPr="00A2141D" w:rsidRDefault="007F63B1" w:rsidP="001366F5">
      <w:pPr>
        <w:pStyle w:val="Default"/>
        <w:numPr>
          <w:ilvl w:val="0"/>
          <w:numId w:val="1"/>
        </w:numPr>
        <w:spacing w:after="100"/>
        <w:ind w:left="1134" w:right="144" w:hanging="283"/>
      </w:pPr>
      <w:r w:rsidRPr="00A2141D">
        <w:t>any significant issues arising up to the date of preparation of the report;</w:t>
      </w:r>
    </w:p>
    <w:p w14:paraId="0B11B152" w14:textId="77777777" w:rsidR="007F63B1" w:rsidRPr="00A2141D" w:rsidRDefault="007F63B1" w:rsidP="001366F5">
      <w:pPr>
        <w:pStyle w:val="Default"/>
        <w:numPr>
          <w:ilvl w:val="0"/>
          <w:numId w:val="1"/>
        </w:numPr>
        <w:spacing w:after="100"/>
        <w:ind w:left="1134" w:right="144" w:hanging="283"/>
      </w:pPr>
      <w:r w:rsidRPr="00A2141D">
        <w:t>any significant matters of internal control included in the reports of audit and assurance providers;</w:t>
      </w:r>
    </w:p>
    <w:p w14:paraId="40CC5D5F" w14:textId="77777777" w:rsidR="007F63B1" w:rsidRPr="00A2141D" w:rsidRDefault="007F63B1" w:rsidP="001366F5">
      <w:pPr>
        <w:pStyle w:val="Default"/>
        <w:numPr>
          <w:ilvl w:val="0"/>
          <w:numId w:val="1"/>
        </w:numPr>
        <w:spacing w:after="100"/>
        <w:ind w:left="1134" w:right="144" w:hanging="283"/>
      </w:pPr>
      <w:r w:rsidRPr="00A2141D">
        <w:t>a statement on data quality;</w:t>
      </w:r>
    </w:p>
    <w:p w14:paraId="7B26E365" w14:textId="77777777" w:rsidR="007F63B1" w:rsidRPr="00A2141D" w:rsidRDefault="007F63B1" w:rsidP="001366F5">
      <w:pPr>
        <w:pStyle w:val="Default"/>
        <w:numPr>
          <w:ilvl w:val="0"/>
          <w:numId w:val="1"/>
        </w:numPr>
        <w:spacing w:after="100"/>
        <w:ind w:left="1134" w:right="144" w:hanging="283"/>
      </w:pPr>
      <w:r w:rsidRPr="00A2141D">
        <w:t>details of the date of appointment of the external auditors and the remaining term of the contract;</w:t>
      </w:r>
    </w:p>
    <w:p w14:paraId="1DEE8A63" w14:textId="77777777" w:rsidR="007F63B1" w:rsidRPr="00A2141D" w:rsidRDefault="007F63B1" w:rsidP="001366F5">
      <w:pPr>
        <w:pStyle w:val="Default"/>
        <w:numPr>
          <w:ilvl w:val="0"/>
          <w:numId w:val="1"/>
        </w:numPr>
        <w:spacing w:after="100"/>
        <w:ind w:left="1134" w:right="144" w:hanging="283"/>
      </w:pPr>
      <w:r w:rsidRPr="00A2141D">
        <w:t>the Committee’s view of its own effectiveness and how it has fulfilled its terms of reference; and</w:t>
      </w:r>
    </w:p>
    <w:p w14:paraId="633FB2A2" w14:textId="77777777" w:rsidR="007F63B1" w:rsidRPr="00A2141D" w:rsidRDefault="007F63B1" w:rsidP="001366F5">
      <w:pPr>
        <w:pStyle w:val="Default"/>
        <w:numPr>
          <w:ilvl w:val="0"/>
          <w:numId w:val="1"/>
        </w:numPr>
        <w:ind w:left="1134" w:right="144" w:hanging="284"/>
      </w:pPr>
      <w:r w:rsidRPr="00A2141D">
        <w:lastRenderedPageBreak/>
        <w:t>the Committee’s view of the adequacy and effectiveness of the Corporation’s assurance arrangements, assurance over subcontracting, framework of governance, risk management and control processes for the effective and efficient use of resources, solvency, and the safeguarding of assets.</w:t>
      </w:r>
    </w:p>
    <w:p w14:paraId="1DB4D34F" w14:textId="77777777" w:rsidR="007F63B1" w:rsidRPr="00A2141D" w:rsidRDefault="007F63B1" w:rsidP="0092195E">
      <w:pPr>
        <w:pStyle w:val="Default"/>
        <w:ind w:right="-142"/>
      </w:pPr>
    </w:p>
    <w:p w14:paraId="3D1B4B1A" w14:textId="77777777" w:rsidR="007F63B1" w:rsidRPr="00A2141D" w:rsidRDefault="007F63B1" w:rsidP="001366F5">
      <w:pPr>
        <w:pStyle w:val="ListParagraph"/>
        <w:numPr>
          <w:ilvl w:val="1"/>
          <w:numId w:val="9"/>
        </w:numPr>
        <w:ind w:left="851" w:hanging="851"/>
        <w:jc w:val="both"/>
        <w:rPr>
          <w:rFonts w:cs="Arial"/>
          <w:b/>
          <w:szCs w:val="24"/>
        </w:rPr>
      </w:pPr>
      <w:r w:rsidRPr="00A2141D">
        <w:rPr>
          <w:rFonts w:cs="Arial"/>
          <w:b/>
          <w:szCs w:val="24"/>
        </w:rPr>
        <w:t>Annual Financial Statements</w:t>
      </w:r>
    </w:p>
    <w:p w14:paraId="5B1CF045" w14:textId="77777777" w:rsidR="007F63B1" w:rsidRPr="00A2141D" w:rsidRDefault="007F63B1" w:rsidP="0092195E">
      <w:pPr>
        <w:pStyle w:val="ListParagraph"/>
        <w:ind w:left="0"/>
        <w:jc w:val="both"/>
        <w:rPr>
          <w:rFonts w:cs="Arial"/>
          <w:b/>
          <w:szCs w:val="24"/>
        </w:rPr>
      </w:pPr>
    </w:p>
    <w:p w14:paraId="003A8061" w14:textId="77777777" w:rsidR="007F63B1" w:rsidRPr="00A2141D" w:rsidRDefault="007F63B1" w:rsidP="001366F5">
      <w:pPr>
        <w:pStyle w:val="ListParagraph"/>
        <w:numPr>
          <w:ilvl w:val="2"/>
          <w:numId w:val="9"/>
        </w:numPr>
        <w:ind w:left="851" w:hanging="851"/>
        <w:jc w:val="both"/>
        <w:rPr>
          <w:rFonts w:cs="Arial"/>
          <w:szCs w:val="24"/>
        </w:rPr>
      </w:pPr>
      <w:r w:rsidRPr="00A2141D">
        <w:rPr>
          <w:rFonts w:cs="Arial"/>
          <w:szCs w:val="24"/>
        </w:rPr>
        <w:t>Advise the Corporation on the annual Financial Statements, having:</w:t>
      </w:r>
    </w:p>
    <w:p w14:paraId="5F5BBFA2" w14:textId="77777777" w:rsidR="007F63B1" w:rsidRPr="00A2141D" w:rsidRDefault="007F63B1" w:rsidP="0092195E">
      <w:pPr>
        <w:pStyle w:val="ListParagraph"/>
        <w:ind w:left="0"/>
        <w:contextualSpacing w:val="0"/>
        <w:jc w:val="both"/>
        <w:rPr>
          <w:rFonts w:cs="Arial"/>
          <w:szCs w:val="24"/>
        </w:rPr>
      </w:pPr>
    </w:p>
    <w:p w14:paraId="5DD3A51C" w14:textId="77777777" w:rsidR="007F63B1" w:rsidRPr="00A2141D" w:rsidRDefault="007F63B1" w:rsidP="001366F5">
      <w:pPr>
        <w:pStyle w:val="Default"/>
        <w:numPr>
          <w:ilvl w:val="0"/>
          <w:numId w:val="1"/>
        </w:numPr>
        <w:spacing w:after="100"/>
        <w:ind w:left="1134" w:right="-143" w:hanging="283"/>
      </w:pPr>
      <w:r w:rsidRPr="00A2141D">
        <w:t>reviewed the audit and control aspects, including the external audit opinion, the statement of Governors’ responsibilities, the statement of internal control and any relevant issue raised in the external auditors’ management letter;</w:t>
      </w:r>
    </w:p>
    <w:p w14:paraId="1B7203AF" w14:textId="77777777" w:rsidR="007F63B1" w:rsidRPr="00A2141D" w:rsidRDefault="007F63B1" w:rsidP="001366F5">
      <w:pPr>
        <w:pStyle w:val="Default"/>
        <w:numPr>
          <w:ilvl w:val="0"/>
          <w:numId w:val="1"/>
        </w:numPr>
        <w:spacing w:after="100"/>
        <w:ind w:left="1134" w:hanging="283"/>
      </w:pPr>
      <w:r w:rsidRPr="00A2141D">
        <w:t>considered whether the Corporation has adopted and applied appropriate accounting policies and principles;</w:t>
      </w:r>
    </w:p>
    <w:p w14:paraId="00040242" w14:textId="77777777" w:rsidR="007F63B1" w:rsidRPr="00A2141D" w:rsidRDefault="007F63B1" w:rsidP="001366F5">
      <w:pPr>
        <w:pStyle w:val="Default"/>
        <w:numPr>
          <w:ilvl w:val="0"/>
          <w:numId w:val="1"/>
        </w:numPr>
        <w:spacing w:after="100"/>
        <w:ind w:left="1134" w:hanging="283"/>
      </w:pPr>
      <w:r w:rsidRPr="00A2141D">
        <w:t>considered management’s critical accounting estimates and judgements;</w:t>
      </w:r>
    </w:p>
    <w:p w14:paraId="34D73B80" w14:textId="77777777" w:rsidR="007F63B1" w:rsidRPr="00A2141D" w:rsidRDefault="007F63B1" w:rsidP="001366F5">
      <w:pPr>
        <w:pStyle w:val="Default"/>
        <w:numPr>
          <w:ilvl w:val="0"/>
          <w:numId w:val="1"/>
        </w:numPr>
        <w:spacing w:after="100"/>
        <w:ind w:left="1134" w:hanging="283"/>
      </w:pPr>
      <w:r w:rsidRPr="00A2141D">
        <w:t>reviewed the clarity and completeness of disclosures and considered whether the disclosures made are set properly in context;</w:t>
      </w:r>
    </w:p>
    <w:p w14:paraId="401266B5" w14:textId="77777777" w:rsidR="007F63B1" w:rsidRPr="00A2141D" w:rsidRDefault="007F63B1" w:rsidP="001366F5">
      <w:pPr>
        <w:pStyle w:val="Default"/>
        <w:numPr>
          <w:ilvl w:val="0"/>
          <w:numId w:val="1"/>
        </w:numPr>
        <w:spacing w:after="100"/>
        <w:ind w:left="1134" w:hanging="283"/>
      </w:pPr>
      <w:r w:rsidRPr="00A2141D">
        <w:t>reviewed related information presented with the Financial Statements, including corporate governance statements relating to the audit and to risk management</w:t>
      </w:r>
    </w:p>
    <w:p w14:paraId="1CFB00D0" w14:textId="77777777" w:rsidR="007F63B1" w:rsidRPr="00A2141D" w:rsidRDefault="007F63B1" w:rsidP="00A41D26">
      <w:pPr>
        <w:pStyle w:val="Default"/>
        <w:ind w:left="1560" w:firstLine="710"/>
      </w:pPr>
    </w:p>
    <w:p w14:paraId="645AFFA1" w14:textId="77777777" w:rsidR="007F63B1" w:rsidRPr="00A2141D" w:rsidRDefault="007F63B1" w:rsidP="001366F5">
      <w:pPr>
        <w:pStyle w:val="Default"/>
        <w:ind w:left="851"/>
      </w:pPr>
      <w:r w:rsidRPr="00A2141D">
        <w:t xml:space="preserve">and provide a recommendation to the Corporation as to whether the annual Financial Statements may be approved and, if unsatisfied with any aspect of the proposed financial reporting, report its views to the Corporation. </w:t>
      </w:r>
    </w:p>
    <w:p w14:paraId="120DBC0D" w14:textId="77777777" w:rsidR="007F63B1" w:rsidRPr="001E1B8F" w:rsidRDefault="007F63B1" w:rsidP="0092195E">
      <w:pPr>
        <w:ind w:hanging="720"/>
        <w:jc w:val="both"/>
        <w:rPr>
          <w:rFonts w:cs="Arial"/>
          <w:b/>
          <w:sz w:val="28"/>
        </w:rPr>
      </w:pPr>
    </w:p>
    <w:p w14:paraId="5EEE4E2C" w14:textId="77777777" w:rsidR="00156306" w:rsidRDefault="00156306">
      <w:pPr>
        <w:rPr>
          <w:rFonts w:eastAsia="Times New Roman" w:cs="Arial"/>
          <w:b/>
          <w:szCs w:val="24"/>
        </w:rPr>
      </w:pPr>
      <w:r>
        <w:rPr>
          <w:b/>
        </w:rPr>
        <w:br w:type="page"/>
      </w:r>
    </w:p>
    <w:p w14:paraId="33F3FC2A" w14:textId="1AF5B35A" w:rsidR="007F63B1" w:rsidRPr="006D4A3B" w:rsidRDefault="007F63B1" w:rsidP="001366F5">
      <w:pPr>
        <w:pStyle w:val="Heading2"/>
        <w:numPr>
          <w:ilvl w:val="0"/>
          <w:numId w:val="7"/>
        </w:numPr>
        <w:ind w:left="851" w:hanging="851"/>
        <w:jc w:val="both"/>
        <w:rPr>
          <w:b w:val="0"/>
          <w:u w:val="none"/>
        </w:rPr>
      </w:pPr>
      <w:r w:rsidRPr="006D4A3B">
        <w:rPr>
          <w:u w:val="none"/>
        </w:rPr>
        <w:lastRenderedPageBreak/>
        <w:t>The Committee’s Rights</w:t>
      </w:r>
    </w:p>
    <w:p w14:paraId="321DAF00" w14:textId="77777777" w:rsidR="007F63B1" w:rsidRDefault="007F63B1" w:rsidP="0092195E">
      <w:pPr>
        <w:ind w:hanging="720"/>
        <w:jc w:val="both"/>
        <w:rPr>
          <w:rFonts w:cs="Arial"/>
        </w:rPr>
      </w:pPr>
    </w:p>
    <w:p w14:paraId="37CF6160" w14:textId="77777777" w:rsidR="007F63B1" w:rsidRPr="0068686D" w:rsidRDefault="007F63B1" w:rsidP="0092195E">
      <w:pPr>
        <w:pStyle w:val="ListParagraph"/>
        <w:numPr>
          <w:ilvl w:val="0"/>
          <w:numId w:val="9"/>
        </w:numPr>
        <w:ind w:left="0" w:hanging="567"/>
        <w:jc w:val="both"/>
        <w:rPr>
          <w:rFonts w:cs="Arial"/>
          <w:vanish/>
        </w:rPr>
      </w:pPr>
    </w:p>
    <w:p w14:paraId="29D77991" w14:textId="77777777" w:rsidR="007F63B1" w:rsidRDefault="007F63B1" w:rsidP="001366F5">
      <w:pPr>
        <w:pStyle w:val="ListParagraph"/>
        <w:numPr>
          <w:ilvl w:val="1"/>
          <w:numId w:val="9"/>
        </w:numPr>
        <w:ind w:left="851" w:hanging="851"/>
        <w:jc w:val="both"/>
        <w:rPr>
          <w:rFonts w:cs="Arial"/>
        </w:rPr>
      </w:pPr>
      <w:r>
        <w:rPr>
          <w:rFonts w:cs="Arial"/>
        </w:rPr>
        <w:t>The Audit Committee has the right to:</w:t>
      </w:r>
    </w:p>
    <w:p w14:paraId="4A5F7369" w14:textId="77777777" w:rsidR="007F63B1" w:rsidRPr="00C326C7" w:rsidRDefault="007F63B1" w:rsidP="0092195E">
      <w:pPr>
        <w:pStyle w:val="ListParagraph"/>
        <w:ind w:left="0"/>
        <w:rPr>
          <w:rFonts w:cs="Arial"/>
          <w:sz w:val="10"/>
        </w:rPr>
      </w:pPr>
    </w:p>
    <w:p w14:paraId="4ADB64C7" w14:textId="77777777" w:rsidR="007F63B1" w:rsidRPr="001E1B8F" w:rsidRDefault="007F63B1" w:rsidP="001366F5">
      <w:pPr>
        <w:pStyle w:val="Default"/>
        <w:numPr>
          <w:ilvl w:val="0"/>
          <w:numId w:val="1"/>
        </w:numPr>
        <w:spacing w:after="100"/>
        <w:ind w:left="1134" w:hanging="283"/>
        <w:rPr>
          <w:sz w:val="22"/>
          <w:szCs w:val="22"/>
        </w:rPr>
      </w:pPr>
      <w:r w:rsidRPr="001E1B8F">
        <w:rPr>
          <w:sz w:val="22"/>
          <w:szCs w:val="22"/>
        </w:rPr>
        <w:t>where satisfied that it is appropriate to do so, go into confidential session and exclude any, or all, participants and observers, except the Clerk to the Committee;</w:t>
      </w:r>
    </w:p>
    <w:p w14:paraId="5DB5F3C4" w14:textId="77777777" w:rsidR="007F63B1" w:rsidRPr="001E1B8F" w:rsidRDefault="007F63B1" w:rsidP="001366F5">
      <w:pPr>
        <w:pStyle w:val="Default"/>
        <w:numPr>
          <w:ilvl w:val="0"/>
          <w:numId w:val="1"/>
        </w:numPr>
        <w:spacing w:after="100"/>
        <w:ind w:left="1134" w:hanging="283"/>
        <w:rPr>
          <w:sz w:val="22"/>
          <w:szCs w:val="22"/>
        </w:rPr>
      </w:pPr>
      <w:r w:rsidRPr="001E1B8F">
        <w:rPr>
          <w:sz w:val="22"/>
          <w:szCs w:val="22"/>
        </w:rPr>
        <w:t xml:space="preserve">scrutinise any activity within its terms of reference, which may involve engaging a third party to assist; and </w:t>
      </w:r>
    </w:p>
    <w:p w14:paraId="28559F5D" w14:textId="77777777" w:rsidR="007F63B1" w:rsidRPr="001E1B8F" w:rsidRDefault="007F63B1" w:rsidP="001366F5">
      <w:pPr>
        <w:pStyle w:val="Default"/>
        <w:numPr>
          <w:ilvl w:val="0"/>
          <w:numId w:val="1"/>
        </w:numPr>
        <w:ind w:left="1134" w:hanging="284"/>
        <w:rPr>
          <w:sz w:val="22"/>
          <w:szCs w:val="22"/>
        </w:rPr>
      </w:pPr>
      <w:r w:rsidRPr="001E1B8F">
        <w:rPr>
          <w:sz w:val="22"/>
          <w:szCs w:val="22"/>
        </w:rPr>
        <w:t xml:space="preserve">access all the information and explanations it considers necessary, from whatever source, to fulfil its remit. </w:t>
      </w:r>
    </w:p>
    <w:p w14:paraId="77CF819B" w14:textId="795C41E8" w:rsidR="007F63B1" w:rsidRDefault="007F63B1" w:rsidP="0092195E">
      <w:pPr>
        <w:pStyle w:val="ListParagraph"/>
        <w:ind w:left="0"/>
        <w:jc w:val="right"/>
        <w:rPr>
          <w:rFonts w:cs="Arial"/>
          <w:sz w:val="18"/>
          <w:szCs w:val="23"/>
        </w:rPr>
      </w:pPr>
    </w:p>
    <w:p w14:paraId="63D1E5F1" w14:textId="70AF5FBE" w:rsidR="008E19DA" w:rsidRPr="006D4A3B" w:rsidRDefault="008E19DA" w:rsidP="001366F5">
      <w:pPr>
        <w:pStyle w:val="Heading2"/>
        <w:numPr>
          <w:ilvl w:val="0"/>
          <w:numId w:val="7"/>
        </w:numPr>
        <w:ind w:left="993" w:hanging="993"/>
        <w:jc w:val="both"/>
        <w:rPr>
          <w:b w:val="0"/>
          <w:u w:val="none"/>
        </w:rPr>
      </w:pPr>
      <w:r w:rsidRPr="006D4A3B">
        <w:rPr>
          <w:u w:val="none"/>
        </w:rPr>
        <w:t>Key Information Sources</w:t>
      </w:r>
    </w:p>
    <w:p w14:paraId="3652F7B6" w14:textId="27F5D470" w:rsidR="008E19DA" w:rsidRPr="00AB6BB5" w:rsidRDefault="008E19DA" w:rsidP="0092195E">
      <w:pPr>
        <w:rPr>
          <w:sz w:val="10"/>
          <w:szCs w:val="10"/>
        </w:rPr>
      </w:pPr>
    </w:p>
    <w:p w14:paraId="1CE3A5EE" w14:textId="08EAD24A" w:rsidR="008E19DA" w:rsidRPr="00224628" w:rsidRDefault="00E759ED" w:rsidP="001366F5">
      <w:pPr>
        <w:pStyle w:val="ListParagraph"/>
        <w:numPr>
          <w:ilvl w:val="0"/>
          <w:numId w:val="10"/>
        </w:numPr>
        <w:spacing w:after="100"/>
        <w:ind w:left="1276"/>
        <w:contextualSpacing w:val="0"/>
        <w:rPr>
          <w:rFonts w:cs="Arial"/>
        </w:rPr>
      </w:pPr>
      <w:hyperlink r:id="rId7" w:history="1">
        <w:r w:rsidR="004070F4" w:rsidRPr="00224628">
          <w:rPr>
            <w:rStyle w:val="Hyperlink"/>
            <w:rFonts w:cs="Arial"/>
          </w:rPr>
          <w:t>Further Education Bodies (Insolvency) Regulations 2019</w:t>
        </w:r>
      </w:hyperlink>
      <w:r w:rsidR="008E19DA" w:rsidRPr="00224628">
        <w:rPr>
          <w:rFonts w:cs="Arial"/>
        </w:rPr>
        <w:t>;</w:t>
      </w:r>
    </w:p>
    <w:p w14:paraId="39F349AE" w14:textId="31DB41B2" w:rsidR="008E19DA" w:rsidRPr="00224628" w:rsidRDefault="00E759ED" w:rsidP="001366F5">
      <w:pPr>
        <w:pStyle w:val="ListParagraph"/>
        <w:numPr>
          <w:ilvl w:val="0"/>
          <w:numId w:val="10"/>
        </w:numPr>
        <w:spacing w:after="100"/>
        <w:ind w:left="1276"/>
        <w:contextualSpacing w:val="0"/>
        <w:jc w:val="both"/>
        <w:rPr>
          <w:rFonts w:cs="Arial"/>
        </w:rPr>
      </w:pPr>
      <w:hyperlink r:id="rId8" w:history="1">
        <w:r w:rsidR="008E19DA" w:rsidRPr="00224628">
          <w:rPr>
            <w:rStyle w:val="Hyperlink"/>
            <w:rFonts w:cs="Arial"/>
          </w:rPr>
          <w:t>HM Treasury’s audit committee handbook</w:t>
        </w:r>
      </w:hyperlink>
      <w:r w:rsidR="002A19C6" w:rsidRPr="00224628">
        <w:rPr>
          <w:rFonts w:cs="Arial"/>
        </w:rPr>
        <w:t>;</w:t>
      </w:r>
    </w:p>
    <w:p w14:paraId="437412DE" w14:textId="31EE6103" w:rsidR="00224628" w:rsidRPr="00224628" w:rsidRDefault="00E759ED" w:rsidP="001366F5">
      <w:pPr>
        <w:pStyle w:val="ListParagraph"/>
        <w:numPr>
          <w:ilvl w:val="0"/>
          <w:numId w:val="10"/>
        </w:numPr>
        <w:spacing w:after="100"/>
        <w:ind w:left="1276"/>
        <w:contextualSpacing w:val="0"/>
        <w:jc w:val="both"/>
        <w:rPr>
          <w:rFonts w:cs="Arial"/>
        </w:rPr>
      </w:pPr>
      <w:hyperlink r:id="rId9" w:history="1">
        <w:r w:rsidR="00224628" w:rsidRPr="00224628">
          <w:rPr>
            <w:rStyle w:val="Hyperlink"/>
            <w:rFonts w:cs="Arial"/>
          </w:rPr>
          <w:t>Managing Public Money</w:t>
        </w:r>
      </w:hyperlink>
    </w:p>
    <w:p w14:paraId="5072EF1D" w14:textId="2F170542" w:rsidR="008E19DA" w:rsidRDefault="00E759ED" w:rsidP="001366F5">
      <w:pPr>
        <w:pStyle w:val="ListParagraph"/>
        <w:numPr>
          <w:ilvl w:val="0"/>
          <w:numId w:val="10"/>
        </w:numPr>
        <w:spacing w:after="100"/>
        <w:ind w:left="1276"/>
        <w:contextualSpacing w:val="0"/>
        <w:jc w:val="both"/>
        <w:rPr>
          <w:rFonts w:cs="Arial"/>
        </w:rPr>
      </w:pPr>
      <w:hyperlink r:id="rId10" w:history="1">
        <w:r w:rsidR="002A19C6" w:rsidRPr="00224628">
          <w:rPr>
            <w:rStyle w:val="Hyperlink"/>
            <w:rFonts w:cs="Arial"/>
          </w:rPr>
          <w:t xml:space="preserve">Code of Good Governance for English </w:t>
        </w:r>
        <w:proofErr w:type="spellStart"/>
        <w:r w:rsidR="002A19C6" w:rsidRPr="00224628">
          <w:rPr>
            <w:rStyle w:val="Hyperlink"/>
            <w:rFonts w:cs="Arial"/>
          </w:rPr>
          <w:t>Colleges</w:t>
        </w:r>
      </w:hyperlink>
      <w:hyperlink r:id="rId11" w:history="1">
        <w:r w:rsidR="004070F4" w:rsidRPr="00224628">
          <w:rPr>
            <w:rStyle w:val="Hyperlink"/>
            <w:rFonts w:cs="Arial"/>
          </w:rPr>
          <w:t>Post</w:t>
        </w:r>
        <w:proofErr w:type="spellEnd"/>
        <w:r w:rsidR="004070F4" w:rsidRPr="00224628">
          <w:rPr>
            <w:rStyle w:val="Hyperlink"/>
            <w:rFonts w:cs="Arial"/>
          </w:rPr>
          <w:t xml:space="preserve"> 16 Audit Code of Practice</w:t>
        </w:r>
      </w:hyperlink>
    </w:p>
    <w:p w14:paraId="21318467" w14:textId="6C010F04" w:rsidR="00444993" w:rsidRDefault="00444993" w:rsidP="00444993">
      <w:pPr>
        <w:pStyle w:val="ListParagraph"/>
        <w:spacing w:after="100"/>
        <w:ind w:left="426"/>
        <w:contextualSpacing w:val="0"/>
        <w:jc w:val="both"/>
        <w:rPr>
          <w:rFonts w:cs="Arial"/>
        </w:rPr>
      </w:pPr>
    </w:p>
    <w:p w14:paraId="7FA9FDD1" w14:textId="377B3463" w:rsidR="001366F5" w:rsidRDefault="001366F5" w:rsidP="00444993">
      <w:pPr>
        <w:pStyle w:val="ListParagraph"/>
        <w:spacing w:after="100"/>
        <w:ind w:left="426"/>
        <w:contextualSpacing w:val="0"/>
        <w:jc w:val="both"/>
        <w:rPr>
          <w:rFonts w:cs="Arial"/>
        </w:rPr>
      </w:pPr>
    </w:p>
    <w:p w14:paraId="0C957E61" w14:textId="5E1DFC7E" w:rsidR="001366F5" w:rsidRDefault="001366F5" w:rsidP="00444993">
      <w:pPr>
        <w:pStyle w:val="ListParagraph"/>
        <w:spacing w:after="100"/>
        <w:ind w:left="426"/>
        <w:contextualSpacing w:val="0"/>
        <w:jc w:val="both"/>
        <w:rPr>
          <w:rFonts w:cs="Arial"/>
        </w:rPr>
      </w:pPr>
    </w:p>
    <w:p w14:paraId="3F6C62E3" w14:textId="3C1A74A2" w:rsidR="001366F5" w:rsidRDefault="001366F5" w:rsidP="00444993">
      <w:pPr>
        <w:pStyle w:val="ListParagraph"/>
        <w:spacing w:after="100"/>
        <w:ind w:left="426"/>
        <w:contextualSpacing w:val="0"/>
        <w:jc w:val="both"/>
        <w:rPr>
          <w:rFonts w:cs="Arial"/>
        </w:rPr>
      </w:pPr>
    </w:p>
    <w:p w14:paraId="5DF94058" w14:textId="77777777" w:rsidR="001366F5" w:rsidRPr="00224628" w:rsidRDefault="001366F5" w:rsidP="00444993">
      <w:pPr>
        <w:pStyle w:val="ListParagraph"/>
        <w:spacing w:after="100"/>
        <w:ind w:left="426"/>
        <w:contextualSpacing w:val="0"/>
        <w:jc w:val="both"/>
        <w:rPr>
          <w:rFonts w:cs="Arial"/>
        </w:rPr>
      </w:pPr>
    </w:p>
    <w:p w14:paraId="539D0F77" w14:textId="7FD97F26" w:rsidR="0098243A" w:rsidRPr="007F63B1" w:rsidRDefault="007F63B1" w:rsidP="007F63B1">
      <w:pPr>
        <w:ind w:left="720" w:hanging="720"/>
        <w:jc w:val="right"/>
        <w:rPr>
          <w:rFonts w:cs="Arial"/>
        </w:rPr>
      </w:pPr>
      <w:r>
        <w:rPr>
          <w:rFonts w:cs="Arial"/>
        </w:rPr>
        <w:t>Approved by the Corporation</w:t>
      </w:r>
      <w:r w:rsidR="001366F5">
        <w:rPr>
          <w:rFonts w:cs="Arial"/>
        </w:rPr>
        <w:t>:</w:t>
      </w:r>
      <w:r>
        <w:rPr>
          <w:rFonts w:cs="Arial"/>
        </w:rPr>
        <w:t xml:space="preserve"> </w:t>
      </w:r>
      <w:r w:rsidR="001366F5">
        <w:rPr>
          <w:rFonts w:cs="Arial"/>
        </w:rPr>
        <w:t>10/07/24</w:t>
      </w:r>
    </w:p>
    <w:sectPr w:rsidR="0098243A" w:rsidRPr="007F63B1" w:rsidSect="00CE78E3">
      <w:footerReference w:type="default" r:id="rId1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EE344D" w14:textId="77777777" w:rsidR="00C830D6" w:rsidRDefault="00C830D6" w:rsidP="002F0C03">
      <w:r>
        <w:separator/>
      </w:r>
    </w:p>
  </w:endnote>
  <w:endnote w:type="continuationSeparator" w:id="0">
    <w:p w14:paraId="27197443" w14:textId="77777777" w:rsidR="00C830D6" w:rsidRDefault="00C830D6" w:rsidP="002F0C03">
      <w:r>
        <w:continuationSeparator/>
      </w:r>
    </w:p>
  </w:endnote>
  <w:endnote w:type="continuationNotice" w:id="1">
    <w:p w14:paraId="61BCFFCE" w14:textId="77777777" w:rsidR="00C830D6" w:rsidRDefault="00C830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8F37F" w14:textId="77777777" w:rsidR="00CE78E3" w:rsidRDefault="00CE78E3" w:rsidP="00CE78E3">
    <w:pPr>
      <w:ind w:left="720" w:hanging="720"/>
      <w:jc w:val="both"/>
      <w:rPr>
        <w:rFonts w:cs="Arial"/>
        <w:sz w:val="16"/>
        <w:szCs w:val="16"/>
      </w:rPr>
    </w:pPr>
  </w:p>
  <w:p w14:paraId="0ECB0228" w14:textId="77777777" w:rsidR="00CE78E3" w:rsidRDefault="00CE78E3">
    <w:pPr>
      <w:pStyle w:val="Footer"/>
    </w:pPr>
  </w:p>
  <w:p w14:paraId="1D1E7527" w14:textId="77777777" w:rsidR="00CE78E3" w:rsidRDefault="00CE78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624356" w14:textId="77777777" w:rsidR="00C830D6" w:rsidRDefault="00C830D6" w:rsidP="002F0C03">
      <w:r>
        <w:separator/>
      </w:r>
    </w:p>
  </w:footnote>
  <w:footnote w:type="continuationSeparator" w:id="0">
    <w:p w14:paraId="7FED5421" w14:textId="77777777" w:rsidR="00C830D6" w:rsidRDefault="00C830D6" w:rsidP="002F0C03">
      <w:r>
        <w:continuationSeparator/>
      </w:r>
    </w:p>
  </w:footnote>
  <w:footnote w:type="continuationNotice" w:id="1">
    <w:p w14:paraId="6CA6E127" w14:textId="77777777" w:rsidR="00C830D6" w:rsidRDefault="00C830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7670D"/>
    <w:multiLevelType w:val="multilevel"/>
    <w:tmpl w:val="77D219C6"/>
    <w:lvl w:ilvl="0">
      <w:start w:val="5"/>
      <w:numFmt w:val="decimal"/>
      <w:lvlText w:val="%1"/>
      <w:lvlJc w:val="left"/>
      <w:pPr>
        <w:ind w:left="360" w:hanging="360"/>
      </w:pPr>
      <w:rPr>
        <w:rFonts w:hint="default"/>
        <w:sz w:val="12"/>
      </w:rPr>
    </w:lvl>
    <w:lvl w:ilvl="1">
      <w:start w:val="1"/>
      <w:numFmt w:val="decimal"/>
      <w:lvlText w:val="%1.%2"/>
      <w:lvlJc w:val="left"/>
      <w:pPr>
        <w:ind w:left="360" w:hanging="360"/>
      </w:pPr>
      <w:rPr>
        <w:rFonts w:hint="default"/>
        <w:b w:val="0"/>
        <w:sz w:val="22"/>
        <w:szCs w:val="22"/>
      </w:rPr>
    </w:lvl>
    <w:lvl w:ilvl="2">
      <w:start w:val="1"/>
      <w:numFmt w:val="decimal"/>
      <w:lvlText w:val="%1.%2.%3"/>
      <w:lvlJc w:val="left"/>
      <w:pPr>
        <w:ind w:left="720" w:hanging="720"/>
      </w:pPr>
      <w:rPr>
        <w:rFonts w:hint="default"/>
        <w:sz w:val="22"/>
        <w:szCs w:val="22"/>
      </w:rPr>
    </w:lvl>
    <w:lvl w:ilvl="3">
      <w:start w:val="1"/>
      <w:numFmt w:val="decimal"/>
      <w:lvlText w:val="%1.%2.%3.%4"/>
      <w:lvlJc w:val="left"/>
      <w:pPr>
        <w:ind w:left="720" w:hanging="720"/>
      </w:pPr>
      <w:rPr>
        <w:rFonts w:hint="default"/>
        <w:sz w:val="12"/>
      </w:rPr>
    </w:lvl>
    <w:lvl w:ilvl="4">
      <w:start w:val="1"/>
      <w:numFmt w:val="decimal"/>
      <w:lvlText w:val="%1.%2.%3.%4.%5"/>
      <w:lvlJc w:val="left"/>
      <w:pPr>
        <w:ind w:left="1080" w:hanging="1080"/>
      </w:pPr>
      <w:rPr>
        <w:rFonts w:hint="default"/>
        <w:sz w:val="12"/>
      </w:rPr>
    </w:lvl>
    <w:lvl w:ilvl="5">
      <w:start w:val="1"/>
      <w:numFmt w:val="decimal"/>
      <w:lvlText w:val="%1.%2.%3.%4.%5.%6"/>
      <w:lvlJc w:val="left"/>
      <w:pPr>
        <w:ind w:left="1080" w:hanging="1080"/>
      </w:pPr>
      <w:rPr>
        <w:rFonts w:hint="default"/>
        <w:sz w:val="12"/>
      </w:rPr>
    </w:lvl>
    <w:lvl w:ilvl="6">
      <w:start w:val="1"/>
      <w:numFmt w:val="decimal"/>
      <w:lvlText w:val="%1.%2.%3.%4.%5.%6.%7"/>
      <w:lvlJc w:val="left"/>
      <w:pPr>
        <w:ind w:left="1440" w:hanging="1440"/>
      </w:pPr>
      <w:rPr>
        <w:rFonts w:hint="default"/>
        <w:sz w:val="12"/>
      </w:rPr>
    </w:lvl>
    <w:lvl w:ilvl="7">
      <w:start w:val="1"/>
      <w:numFmt w:val="decimal"/>
      <w:lvlText w:val="%1.%2.%3.%4.%5.%6.%7.%8"/>
      <w:lvlJc w:val="left"/>
      <w:pPr>
        <w:ind w:left="1440" w:hanging="1440"/>
      </w:pPr>
      <w:rPr>
        <w:rFonts w:hint="default"/>
        <w:sz w:val="12"/>
      </w:rPr>
    </w:lvl>
    <w:lvl w:ilvl="8">
      <w:start w:val="1"/>
      <w:numFmt w:val="decimal"/>
      <w:lvlText w:val="%1.%2.%3.%4.%5.%6.%7.%8.%9"/>
      <w:lvlJc w:val="left"/>
      <w:pPr>
        <w:ind w:left="1800" w:hanging="1800"/>
      </w:pPr>
      <w:rPr>
        <w:rFonts w:hint="default"/>
        <w:sz w:val="12"/>
      </w:rPr>
    </w:lvl>
  </w:abstractNum>
  <w:abstractNum w:abstractNumId="1" w15:restartNumberingAfterBreak="0">
    <w:nsid w:val="0C901A18"/>
    <w:multiLevelType w:val="hybridMultilevel"/>
    <w:tmpl w:val="92AEC098"/>
    <w:lvl w:ilvl="0" w:tplc="C7940656">
      <w:start w:val="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A67D6B"/>
    <w:multiLevelType w:val="hybridMultilevel"/>
    <w:tmpl w:val="7C6A81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3B7216"/>
    <w:multiLevelType w:val="hybridMultilevel"/>
    <w:tmpl w:val="DE480770"/>
    <w:lvl w:ilvl="0" w:tplc="535429B2">
      <w:start w:val="1"/>
      <w:numFmt w:val="lowerLetter"/>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65237BE"/>
    <w:multiLevelType w:val="hybridMultilevel"/>
    <w:tmpl w:val="731A1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CD640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B762F45"/>
    <w:multiLevelType w:val="hybridMultilevel"/>
    <w:tmpl w:val="334A1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DB6F78"/>
    <w:multiLevelType w:val="multilevel"/>
    <w:tmpl w:val="D8D858EA"/>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6719707D"/>
    <w:multiLevelType w:val="hybridMultilevel"/>
    <w:tmpl w:val="761CA9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6E49311B"/>
    <w:multiLevelType w:val="multilevel"/>
    <w:tmpl w:val="0FEC553E"/>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3"/>
  </w:num>
  <w:num w:numId="3">
    <w:abstractNumId w:val="8"/>
  </w:num>
  <w:num w:numId="4">
    <w:abstractNumId w:val="2"/>
  </w:num>
  <w:num w:numId="5">
    <w:abstractNumId w:val="5"/>
  </w:num>
  <w:num w:numId="6">
    <w:abstractNumId w:val="1"/>
  </w:num>
  <w:num w:numId="7">
    <w:abstractNumId w:val="9"/>
  </w:num>
  <w:num w:numId="8">
    <w:abstractNumId w:val="7"/>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964"/>
    <w:rsid w:val="00002BFF"/>
    <w:rsid w:val="000071E6"/>
    <w:rsid w:val="000621C8"/>
    <w:rsid w:val="000F7964"/>
    <w:rsid w:val="001366F5"/>
    <w:rsid w:val="00145CA9"/>
    <w:rsid w:val="00156306"/>
    <w:rsid w:val="001A4982"/>
    <w:rsid w:val="001F56A2"/>
    <w:rsid w:val="00224628"/>
    <w:rsid w:val="002332BC"/>
    <w:rsid w:val="00261260"/>
    <w:rsid w:val="002A19C6"/>
    <w:rsid w:val="002E65CF"/>
    <w:rsid w:val="002F0C03"/>
    <w:rsid w:val="002F38CB"/>
    <w:rsid w:val="00302064"/>
    <w:rsid w:val="003122EB"/>
    <w:rsid w:val="0034376D"/>
    <w:rsid w:val="0034434D"/>
    <w:rsid w:val="00393A40"/>
    <w:rsid w:val="004070F4"/>
    <w:rsid w:val="00410FC7"/>
    <w:rsid w:val="00444993"/>
    <w:rsid w:val="00452A31"/>
    <w:rsid w:val="004721FD"/>
    <w:rsid w:val="004802BD"/>
    <w:rsid w:val="00490929"/>
    <w:rsid w:val="004C46C4"/>
    <w:rsid w:val="005D4712"/>
    <w:rsid w:val="005E119B"/>
    <w:rsid w:val="00615F9E"/>
    <w:rsid w:val="00666479"/>
    <w:rsid w:val="00673025"/>
    <w:rsid w:val="006806C2"/>
    <w:rsid w:val="006A0993"/>
    <w:rsid w:val="006C048C"/>
    <w:rsid w:val="006D4A3B"/>
    <w:rsid w:val="006E45B9"/>
    <w:rsid w:val="006F537E"/>
    <w:rsid w:val="007145BE"/>
    <w:rsid w:val="007179DE"/>
    <w:rsid w:val="007214B6"/>
    <w:rsid w:val="007536E1"/>
    <w:rsid w:val="00764A4C"/>
    <w:rsid w:val="007B3151"/>
    <w:rsid w:val="007F63B1"/>
    <w:rsid w:val="00802763"/>
    <w:rsid w:val="00807D64"/>
    <w:rsid w:val="00831781"/>
    <w:rsid w:val="00852B24"/>
    <w:rsid w:val="0085475D"/>
    <w:rsid w:val="00862B27"/>
    <w:rsid w:val="0086685F"/>
    <w:rsid w:val="008B7118"/>
    <w:rsid w:val="008E19DA"/>
    <w:rsid w:val="009118AD"/>
    <w:rsid w:val="0092195E"/>
    <w:rsid w:val="00924617"/>
    <w:rsid w:val="00957595"/>
    <w:rsid w:val="0095793A"/>
    <w:rsid w:val="0096258B"/>
    <w:rsid w:val="00964F1C"/>
    <w:rsid w:val="00972287"/>
    <w:rsid w:val="0098243A"/>
    <w:rsid w:val="009D1124"/>
    <w:rsid w:val="009E18BB"/>
    <w:rsid w:val="00A0326B"/>
    <w:rsid w:val="00A2141D"/>
    <w:rsid w:val="00A41D26"/>
    <w:rsid w:val="00A8684B"/>
    <w:rsid w:val="00AB6BB5"/>
    <w:rsid w:val="00AC3BC9"/>
    <w:rsid w:val="00B22A64"/>
    <w:rsid w:val="00BE0BD7"/>
    <w:rsid w:val="00C06BCF"/>
    <w:rsid w:val="00C53FEA"/>
    <w:rsid w:val="00C830D6"/>
    <w:rsid w:val="00C967B4"/>
    <w:rsid w:val="00CB362B"/>
    <w:rsid w:val="00CC50F2"/>
    <w:rsid w:val="00CE78E3"/>
    <w:rsid w:val="00D22059"/>
    <w:rsid w:val="00E227AC"/>
    <w:rsid w:val="00E723B2"/>
    <w:rsid w:val="00E759ED"/>
    <w:rsid w:val="00E93321"/>
    <w:rsid w:val="00E973BF"/>
    <w:rsid w:val="00EA1BBA"/>
    <w:rsid w:val="00EA5E67"/>
    <w:rsid w:val="00EC16AA"/>
    <w:rsid w:val="00EC344C"/>
    <w:rsid w:val="00EC4079"/>
    <w:rsid w:val="00F236D7"/>
    <w:rsid w:val="00F80A79"/>
    <w:rsid w:val="00FC3764"/>
    <w:rsid w:val="00FE2D03"/>
    <w:rsid w:val="00FE7C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5E504"/>
  <w15:docId w15:val="{0120470A-38C5-4A6C-80D9-6DF1B4284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23B2"/>
    <w:rPr>
      <w:rFonts w:ascii="Arial" w:hAnsi="Arial"/>
      <w:sz w:val="24"/>
      <w:szCs w:val="22"/>
      <w:lang w:eastAsia="en-US"/>
    </w:rPr>
  </w:style>
  <w:style w:type="paragraph" w:styleId="Heading1">
    <w:name w:val="heading 1"/>
    <w:basedOn w:val="Normal"/>
    <w:next w:val="Normal"/>
    <w:link w:val="Heading1Char"/>
    <w:qFormat/>
    <w:rsid w:val="000F7964"/>
    <w:pPr>
      <w:keepNext/>
      <w:outlineLvl w:val="0"/>
    </w:pPr>
    <w:rPr>
      <w:rFonts w:eastAsia="Times New Roman" w:cs="Arial"/>
      <w:b/>
      <w:bCs/>
      <w:szCs w:val="24"/>
    </w:rPr>
  </w:style>
  <w:style w:type="paragraph" w:styleId="Heading2">
    <w:name w:val="heading 2"/>
    <w:basedOn w:val="Normal"/>
    <w:next w:val="Normal"/>
    <w:link w:val="Heading2Char"/>
    <w:qFormat/>
    <w:rsid w:val="00E723B2"/>
    <w:pPr>
      <w:keepNext/>
      <w:outlineLvl w:val="1"/>
    </w:pPr>
    <w:rPr>
      <w:rFonts w:eastAsia="Times New Roman" w:cs="Arial"/>
      <w:b/>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F7964"/>
    <w:rPr>
      <w:rFonts w:ascii="Arial" w:eastAsia="Times New Roman" w:hAnsi="Arial" w:cs="Arial"/>
      <w:b/>
      <w:bCs/>
      <w:szCs w:val="24"/>
    </w:rPr>
  </w:style>
  <w:style w:type="character" w:customStyle="1" w:styleId="Heading2Char">
    <w:name w:val="Heading 2 Char"/>
    <w:link w:val="Heading2"/>
    <w:rsid w:val="00E723B2"/>
    <w:rPr>
      <w:rFonts w:ascii="Arial" w:eastAsia="Times New Roman" w:hAnsi="Arial" w:cs="Arial"/>
      <w:b/>
      <w:sz w:val="24"/>
      <w:szCs w:val="24"/>
      <w:u w:val="single"/>
      <w:lang w:eastAsia="en-US"/>
    </w:rPr>
  </w:style>
  <w:style w:type="paragraph" w:styleId="BodyTextIndent">
    <w:name w:val="Body Text Indent"/>
    <w:basedOn w:val="Normal"/>
    <w:link w:val="BodyTextIndentChar"/>
    <w:rsid w:val="000F7964"/>
    <w:pPr>
      <w:ind w:left="720" w:hanging="720"/>
      <w:jc w:val="both"/>
    </w:pPr>
    <w:rPr>
      <w:rFonts w:eastAsia="Times New Roman" w:cs="Arial"/>
      <w:szCs w:val="24"/>
    </w:rPr>
  </w:style>
  <w:style w:type="character" w:customStyle="1" w:styleId="BodyTextIndentChar">
    <w:name w:val="Body Text Indent Char"/>
    <w:link w:val="BodyTextIndent"/>
    <w:rsid w:val="000F7964"/>
    <w:rPr>
      <w:rFonts w:ascii="Arial" w:eastAsia="Times New Roman" w:hAnsi="Arial" w:cs="Arial"/>
      <w:szCs w:val="24"/>
    </w:rPr>
  </w:style>
  <w:style w:type="paragraph" w:styleId="Header">
    <w:name w:val="header"/>
    <w:basedOn w:val="Normal"/>
    <w:link w:val="HeaderChar"/>
    <w:uiPriority w:val="99"/>
    <w:unhideWhenUsed/>
    <w:rsid w:val="002F0C03"/>
    <w:pPr>
      <w:tabs>
        <w:tab w:val="center" w:pos="4513"/>
        <w:tab w:val="right" w:pos="9026"/>
      </w:tabs>
    </w:pPr>
  </w:style>
  <w:style w:type="character" w:customStyle="1" w:styleId="HeaderChar">
    <w:name w:val="Header Char"/>
    <w:link w:val="Header"/>
    <w:uiPriority w:val="99"/>
    <w:rsid w:val="002F0C03"/>
    <w:rPr>
      <w:sz w:val="22"/>
      <w:szCs w:val="22"/>
      <w:lang w:eastAsia="en-US"/>
    </w:rPr>
  </w:style>
  <w:style w:type="paragraph" w:styleId="Footer">
    <w:name w:val="footer"/>
    <w:basedOn w:val="Normal"/>
    <w:link w:val="FooterChar"/>
    <w:uiPriority w:val="99"/>
    <w:unhideWhenUsed/>
    <w:rsid w:val="002F0C03"/>
    <w:pPr>
      <w:tabs>
        <w:tab w:val="center" w:pos="4513"/>
        <w:tab w:val="right" w:pos="9026"/>
      </w:tabs>
    </w:pPr>
  </w:style>
  <w:style w:type="character" w:customStyle="1" w:styleId="FooterChar">
    <w:name w:val="Footer Char"/>
    <w:link w:val="Footer"/>
    <w:uiPriority w:val="99"/>
    <w:rsid w:val="002F0C03"/>
    <w:rPr>
      <w:sz w:val="22"/>
      <w:szCs w:val="22"/>
      <w:lang w:eastAsia="en-US"/>
    </w:rPr>
  </w:style>
  <w:style w:type="paragraph" w:styleId="BalloonText">
    <w:name w:val="Balloon Text"/>
    <w:basedOn w:val="Normal"/>
    <w:link w:val="BalloonTextChar"/>
    <w:uiPriority w:val="99"/>
    <w:semiHidden/>
    <w:unhideWhenUsed/>
    <w:rsid w:val="002F0C03"/>
    <w:rPr>
      <w:rFonts w:ascii="Tahoma" w:hAnsi="Tahoma" w:cs="Tahoma"/>
      <w:sz w:val="16"/>
      <w:szCs w:val="16"/>
    </w:rPr>
  </w:style>
  <w:style w:type="character" w:customStyle="1" w:styleId="BalloonTextChar">
    <w:name w:val="Balloon Text Char"/>
    <w:link w:val="BalloonText"/>
    <w:uiPriority w:val="99"/>
    <w:semiHidden/>
    <w:rsid w:val="002F0C03"/>
    <w:rPr>
      <w:rFonts w:ascii="Tahoma" w:hAnsi="Tahoma" w:cs="Tahoma"/>
      <w:sz w:val="16"/>
      <w:szCs w:val="16"/>
      <w:lang w:eastAsia="en-US"/>
    </w:rPr>
  </w:style>
  <w:style w:type="paragraph" w:customStyle="1" w:styleId="Default">
    <w:name w:val="Default"/>
    <w:rsid w:val="00E93321"/>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9E18BB"/>
    <w:pPr>
      <w:ind w:left="720"/>
      <w:contextualSpacing/>
    </w:pPr>
  </w:style>
  <w:style w:type="paragraph" w:styleId="Revision">
    <w:name w:val="Revision"/>
    <w:hidden/>
    <w:uiPriority w:val="99"/>
    <w:semiHidden/>
    <w:rsid w:val="00807D64"/>
    <w:rPr>
      <w:sz w:val="22"/>
      <w:szCs w:val="22"/>
      <w:lang w:eastAsia="en-US"/>
    </w:rPr>
  </w:style>
  <w:style w:type="character" w:styleId="CommentReference">
    <w:name w:val="annotation reference"/>
    <w:basedOn w:val="DefaultParagraphFont"/>
    <w:uiPriority w:val="99"/>
    <w:semiHidden/>
    <w:unhideWhenUsed/>
    <w:rsid w:val="0085475D"/>
    <w:rPr>
      <w:sz w:val="16"/>
      <w:szCs w:val="16"/>
    </w:rPr>
  </w:style>
  <w:style w:type="paragraph" w:styleId="CommentText">
    <w:name w:val="annotation text"/>
    <w:basedOn w:val="Normal"/>
    <w:link w:val="CommentTextChar"/>
    <w:uiPriority w:val="99"/>
    <w:semiHidden/>
    <w:unhideWhenUsed/>
    <w:rsid w:val="0085475D"/>
    <w:rPr>
      <w:sz w:val="20"/>
      <w:szCs w:val="20"/>
    </w:rPr>
  </w:style>
  <w:style w:type="character" w:customStyle="1" w:styleId="CommentTextChar">
    <w:name w:val="Comment Text Char"/>
    <w:basedOn w:val="DefaultParagraphFont"/>
    <w:link w:val="CommentText"/>
    <w:uiPriority w:val="99"/>
    <w:semiHidden/>
    <w:rsid w:val="0085475D"/>
    <w:rPr>
      <w:lang w:eastAsia="en-US"/>
    </w:rPr>
  </w:style>
  <w:style w:type="paragraph" w:styleId="CommentSubject">
    <w:name w:val="annotation subject"/>
    <w:basedOn w:val="CommentText"/>
    <w:next w:val="CommentText"/>
    <w:link w:val="CommentSubjectChar"/>
    <w:uiPriority w:val="99"/>
    <w:semiHidden/>
    <w:unhideWhenUsed/>
    <w:rsid w:val="0085475D"/>
    <w:rPr>
      <w:b/>
      <w:bCs/>
    </w:rPr>
  </w:style>
  <w:style w:type="character" w:customStyle="1" w:styleId="CommentSubjectChar">
    <w:name w:val="Comment Subject Char"/>
    <w:basedOn w:val="CommentTextChar"/>
    <w:link w:val="CommentSubject"/>
    <w:uiPriority w:val="99"/>
    <w:semiHidden/>
    <w:rsid w:val="0085475D"/>
    <w:rPr>
      <w:b/>
      <w:bCs/>
      <w:lang w:eastAsia="en-US"/>
    </w:rPr>
  </w:style>
  <w:style w:type="table" w:styleId="TableGrid">
    <w:name w:val="Table Grid"/>
    <w:basedOn w:val="TableNormal"/>
    <w:uiPriority w:val="59"/>
    <w:rsid w:val="005D471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5">
    <w:name w:val="Style5"/>
    <w:basedOn w:val="DefaultParagraphFont"/>
    <w:uiPriority w:val="1"/>
    <w:rsid w:val="005D4712"/>
    <w:rPr>
      <w:rFonts w:ascii="Arial" w:hAnsi="Arial"/>
      <w:color w:val="000000" w:themeColor="text1"/>
      <w:sz w:val="24"/>
    </w:rPr>
  </w:style>
  <w:style w:type="character" w:customStyle="1" w:styleId="Style7">
    <w:name w:val="Style7"/>
    <w:basedOn w:val="DefaultParagraphFont"/>
    <w:uiPriority w:val="1"/>
    <w:rsid w:val="005D4712"/>
    <w:rPr>
      <w:rFonts w:ascii="Arial" w:hAnsi="Arial"/>
      <w:color w:val="000000" w:themeColor="text1"/>
      <w:sz w:val="24"/>
    </w:rPr>
  </w:style>
  <w:style w:type="character" w:customStyle="1" w:styleId="Style8">
    <w:name w:val="Style8"/>
    <w:basedOn w:val="DefaultParagraphFont"/>
    <w:uiPriority w:val="1"/>
    <w:rsid w:val="005D4712"/>
    <w:rPr>
      <w:rFonts w:ascii="Arial" w:hAnsi="Arial"/>
      <w:color w:val="000000" w:themeColor="text1"/>
      <w:sz w:val="24"/>
    </w:rPr>
  </w:style>
  <w:style w:type="character" w:customStyle="1" w:styleId="Style11">
    <w:name w:val="Style11"/>
    <w:basedOn w:val="DefaultParagraphFont"/>
    <w:uiPriority w:val="1"/>
    <w:rsid w:val="005D4712"/>
    <w:rPr>
      <w:rFonts w:ascii="Arial" w:hAnsi="Arial"/>
      <w:color w:val="000000" w:themeColor="text1"/>
      <w:sz w:val="24"/>
    </w:rPr>
  </w:style>
  <w:style w:type="character" w:customStyle="1" w:styleId="Style12">
    <w:name w:val="Style12"/>
    <w:basedOn w:val="DefaultParagraphFont"/>
    <w:uiPriority w:val="1"/>
    <w:rsid w:val="005D4712"/>
    <w:rPr>
      <w:rFonts w:ascii="Arial" w:hAnsi="Arial"/>
      <w:color w:val="000000" w:themeColor="text1"/>
      <w:sz w:val="24"/>
    </w:rPr>
  </w:style>
  <w:style w:type="character" w:customStyle="1" w:styleId="Style13">
    <w:name w:val="Style13"/>
    <w:basedOn w:val="DefaultParagraphFont"/>
    <w:uiPriority w:val="1"/>
    <w:rsid w:val="005D4712"/>
    <w:rPr>
      <w:rFonts w:ascii="Arial" w:hAnsi="Arial"/>
      <w:color w:val="000000" w:themeColor="text1"/>
      <w:sz w:val="24"/>
    </w:rPr>
  </w:style>
  <w:style w:type="character" w:styleId="Hyperlink">
    <w:name w:val="Hyperlink"/>
    <w:basedOn w:val="DefaultParagraphFont"/>
    <w:uiPriority w:val="99"/>
    <w:unhideWhenUsed/>
    <w:rsid w:val="005D4712"/>
    <w:rPr>
      <w:color w:val="0000FF" w:themeColor="hyperlink"/>
      <w:u w:val="single"/>
    </w:rPr>
  </w:style>
  <w:style w:type="paragraph" w:styleId="FootnoteText">
    <w:name w:val="footnote text"/>
    <w:basedOn w:val="Normal"/>
    <w:link w:val="FootnoteTextChar"/>
    <w:uiPriority w:val="99"/>
    <w:semiHidden/>
    <w:unhideWhenUsed/>
    <w:rsid w:val="005D4712"/>
    <w:rPr>
      <w:rFonts w:ascii="Arial Narrow" w:eastAsia="Times New Roman" w:hAnsi="Arial Narrow"/>
      <w:sz w:val="20"/>
      <w:szCs w:val="20"/>
    </w:rPr>
  </w:style>
  <w:style w:type="character" w:customStyle="1" w:styleId="FootnoteTextChar">
    <w:name w:val="Footnote Text Char"/>
    <w:basedOn w:val="DefaultParagraphFont"/>
    <w:link w:val="FootnoteText"/>
    <w:uiPriority w:val="99"/>
    <w:semiHidden/>
    <w:rsid w:val="005D4712"/>
    <w:rPr>
      <w:rFonts w:ascii="Arial Narrow" w:eastAsia="Times New Roman" w:hAnsi="Arial Narrow"/>
      <w:lang w:eastAsia="en-US"/>
    </w:rPr>
  </w:style>
  <w:style w:type="character" w:styleId="FootnoteReference">
    <w:name w:val="footnote reference"/>
    <w:basedOn w:val="DefaultParagraphFont"/>
    <w:uiPriority w:val="99"/>
    <w:semiHidden/>
    <w:unhideWhenUsed/>
    <w:rsid w:val="005D4712"/>
    <w:rPr>
      <w:vertAlign w:val="superscript"/>
    </w:rPr>
  </w:style>
  <w:style w:type="character" w:styleId="Strong">
    <w:name w:val="Strong"/>
    <w:basedOn w:val="DefaultParagraphFont"/>
    <w:uiPriority w:val="22"/>
    <w:qFormat/>
    <w:rsid w:val="005D4712"/>
    <w:rPr>
      <w:b/>
      <w:bCs/>
    </w:rPr>
  </w:style>
  <w:style w:type="character" w:styleId="UnresolvedMention">
    <w:name w:val="Unresolved Mention"/>
    <w:basedOn w:val="DefaultParagraphFont"/>
    <w:uiPriority w:val="99"/>
    <w:semiHidden/>
    <w:unhideWhenUsed/>
    <w:rsid w:val="008E19DA"/>
    <w:rPr>
      <w:color w:val="605E5C"/>
      <w:shd w:val="clear" w:color="auto" w:fill="E1DFDD"/>
    </w:rPr>
  </w:style>
  <w:style w:type="character" w:styleId="FollowedHyperlink">
    <w:name w:val="FollowedHyperlink"/>
    <w:basedOn w:val="DefaultParagraphFont"/>
    <w:uiPriority w:val="99"/>
    <w:semiHidden/>
    <w:unhideWhenUsed/>
    <w:rsid w:val="004070F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512760/PU1934_Audit_committee_handbook.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egislation.gov.uk/uksi/2019/138/contents/made"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ssets.publishing.service.gov.uk/government/uploads/system/uploads/attachment_data/file/1152732/Post-16_Audit_Code_of_Practice_2022-2023.pdf" TargetMode="External"/><Relationship Id="rId5" Type="http://schemas.openxmlformats.org/officeDocument/2006/relationships/footnotes" Target="footnotes.xml"/><Relationship Id="rId10" Type="http://schemas.openxmlformats.org/officeDocument/2006/relationships/hyperlink" Target="https://d4hfzltwt4wv7.cloudfront.net/uploads/files/AoC-Code-of-Good-Governance-Reviewed-09.21.pdf" TargetMode="External"/><Relationship Id="rId4" Type="http://schemas.openxmlformats.org/officeDocument/2006/relationships/webSettings" Target="webSettings.xml"/><Relationship Id="rId9" Type="http://schemas.openxmlformats.org/officeDocument/2006/relationships/hyperlink" Target="https://assets.publishing.service.gov.uk/government/uploads/system/uploads/attachment_data/file/1153523/Managing_Public_Money_-_May_2023_.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1626</Words>
  <Characters>9269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Kirklees College</Company>
  <LinksUpToDate>false</LinksUpToDate>
  <CharactersWithSpaces>10874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Green</dc:creator>
  <cp:keywords/>
  <dc:description/>
  <cp:lastModifiedBy>Eliza Duckworth</cp:lastModifiedBy>
  <cp:revision>2</cp:revision>
  <cp:lastPrinted>2023-11-30T14:48:00Z</cp:lastPrinted>
  <dcterms:created xsi:type="dcterms:W3CDTF">2025-02-19T16:03:00Z</dcterms:created>
  <dcterms:modified xsi:type="dcterms:W3CDTF">2025-02-19T16:03:00Z</dcterms:modified>
</cp:coreProperties>
</file>